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36A" w:rsidRDefault="0007736A">
      <w:pPr>
        <w:widowControl w:val="0"/>
        <w:pBdr>
          <w:top w:val="nil"/>
          <w:left w:val="nil"/>
          <w:bottom w:val="nil"/>
          <w:right w:val="nil"/>
          <w:between w:val="nil"/>
        </w:pBdr>
        <w:spacing w:after="0" w:line="240" w:lineRule="auto"/>
      </w:pPr>
    </w:p>
    <w:p w:rsidR="0007736A" w:rsidRDefault="0007736A">
      <w:pPr>
        <w:spacing w:after="0" w:line="240" w:lineRule="auto"/>
        <w:jc w:val="center"/>
        <w:rPr>
          <w:b/>
          <w:sz w:val="24"/>
          <w:szCs w:val="24"/>
        </w:rPr>
      </w:pPr>
    </w:p>
    <w:p w:rsidR="0007736A" w:rsidRDefault="00016113">
      <w:pPr>
        <w:spacing w:after="0" w:line="240" w:lineRule="auto"/>
        <w:jc w:val="center"/>
        <w:rPr>
          <w:b/>
          <w:sz w:val="24"/>
          <w:szCs w:val="24"/>
        </w:rPr>
      </w:pPr>
      <w:r>
        <w:rPr>
          <w:b/>
          <w:sz w:val="24"/>
          <w:szCs w:val="24"/>
        </w:rPr>
        <w:t>PROPUESTA DE FORMACIÓN EN PARTICIPACIÓN CIUDADANA EN EL DISTRITO METROPOLITANA DE QUITO A TRAVÉS DE LAS 8 ADMINISTRACIONES ZONALES Y LA ADMINISTRACIÓN ZONAL ESPECIAL TURÍSTICA LA MARISCAL</w:t>
      </w:r>
    </w:p>
    <w:p w:rsidR="0007736A" w:rsidRDefault="0007736A">
      <w:pPr>
        <w:spacing w:after="0" w:line="240" w:lineRule="auto"/>
        <w:jc w:val="center"/>
        <w:rPr>
          <w:b/>
          <w:sz w:val="24"/>
          <w:szCs w:val="24"/>
        </w:rPr>
      </w:pPr>
    </w:p>
    <w:p w:rsidR="0007736A" w:rsidRDefault="0007736A">
      <w:pPr>
        <w:spacing w:after="0" w:line="240" w:lineRule="auto"/>
        <w:jc w:val="center"/>
        <w:rPr>
          <w:b/>
          <w:sz w:val="24"/>
          <w:szCs w:val="24"/>
        </w:rPr>
      </w:pPr>
    </w:p>
    <w:p w:rsidR="0007736A" w:rsidRDefault="00016113">
      <w:pPr>
        <w:numPr>
          <w:ilvl w:val="0"/>
          <w:numId w:val="1"/>
        </w:numPr>
        <w:pBdr>
          <w:top w:val="nil"/>
          <w:left w:val="nil"/>
          <w:bottom w:val="nil"/>
          <w:right w:val="nil"/>
          <w:between w:val="nil"/>
        </w:pBdr>
        <w:spacing w:after="0" w:line="240" w:lineRule="auto"/>
        <w:rPr>
          <w:b/>
          <w:color w:val="000000"/>
          <w:sz w:val="24"/>
          <w:szCs w:val="24"/>
        </w:rPr>
      </w:pPr>
      <w:r>
        <w:rPr>
          <w:b/>
          <w:color w:val="000000"/>
          <w:sz w:val="24"/>
          <w:szCs w:val="24"/>
        </w:rPr>
        <w:t>Antecedentes</w:t>
      </w:r>
    </w:p>
    <w:p w:rsidR="0007736A" w:rsidRDefault="0007736A">
      <w:pPr>
        <w:spacing w:after="0" w:line="240" w:lineRule="auto"/>
        <w:jc w:val="both"/>
        <w:rPr>
          <w:sz w:val="24"/>
          <w:szCs w:val="24"/>
        </w:rPr>
      </w:pPr>
    </w:p>
    <w:p w:rsidR="0007736A" w:rsidRDefault="00016113">
      <w:pPr>
        <w:spacing w:after="0" w:line="240" w:lineRule="auto"/>
        <w:jc w:val="both"/>
        <w:rPr>
          <w:sz w:val="24"/>
          <w:szCs w:val="24"/>
        </w:rPr>
      </w:pPr>
      <w:r>
        <w:rPr>
          <w:sz w:val="24"/>
          <w:szCs w:val="24"/>
        </w:rPr>
        <w:t>A partir de 2014, el Municipio del Distrito Metropolitano de Quito (MDMQ) impulsa la implementación de la política pública de gobierno abierto, basada en los principios de transparencia, apertura de datos públicos, disponibilidad de información y mecanismos de participación y colaboración ciudadana, rendición de cuentas y control social, con el objetivo de incidir en la construcción y evaluación de las políticas públicas, actividades y servicios públicos. El DMQ cuenta con tres ordenanzas relativas a la gestión estratégica del gobierno abierto: 1) la Ordenanza 101 que regula la Gestión de Información (2016); 2) la Ordenanza 102 que regula el Sistema Metropolitano de Participación Ciudadana y Control Social (2016); y, 3) la Ordenanza 184 de Gobierno Abierto de septiembre (2017).</w:t>
      </w:r>
    </w:p>
    <w:p w:rsidR="0007736A" w:rsidRDefault="0007736A">
      <w:pPr>
        <w:spacing w:after="0" w:line="240" w:lineRule="auto"/>
        <w:jc w:val="both"/>
        <w:rPr>
          <w:sz w:val="24"/>
          <w:szCs w:val="24"/>
        </w:rPr>
      </w:pPr>
    </w:p>
    <w:p w:rsidR="0007736A" w:rsidRDefault="00016113">
      <w:pPr>
        <w:spacing w:after="0" w:line="240" w:lineRule="auto"/>
        <w:jc w:val="both"/>
        <w:rPr>
          <w:sz w:val="24"/>
          <w:szCs w:val="24"/>
        </w:rPr>
      </w:pPr>
      <w:r>
        <w:rPr>
          <w:sz w:val="24"/>
          <w:szCs w:val="24"/>
        </w:rPr>
        <w:t>La Secretaría General de Coordinación Territorial y Participación Ciudadana (SGCTyPC) del MDMQ, a través de su Dirección Metropolitana de Participación Ciudadana, viene trabajando en la construcción de una ciudad de derechos, inclusiva y democrática; donde los ciudadanos y ciudadanas sean gestores y partícipes del desarrollo de la ciudad, a través de la participación ciudadana activa con el objeto de impulsar el desarrollo en los ámbitos social, económico, cultural o político en procura de mejorar la calidad de vida de todas y todos los miembros de la sociedad.</w:t>
      </w:r>
    </w:p>
    <w:p w:rsidR="0007736A" w:rsidRDefault="0007736A">
      <w:pPr>
        <w:spacing w:after="0" w:line="240" w:lineRule="auto"/>
        <w:jc w:val="both"/>
        <w:rPr>
          <w:sz w:val="24"/>
          <w:szCs w:val="24"/>
        </w:rPr>
      </w:pPr>
    </w:p>
    <w:p w:rsidR="0007736A" w:rsidRDefault="00016113">
      <w:pPr>
        <w:spacing w:after="0" w:line="240" w:lineRule="auto"/>
        <w:jc w:val="both"/>
        <w:rPr>
          <w:sz w:val="24"/>
          <w:szCs w:val="24"/>
        </w:rPr>
      </w:pPr>
      <w:r>
        <w:rPr>
          <w:sz w:val="24"/>
          <w:szCs w:val="24"/>
        </w:rPr>
        <w:t xml:space="preserve">Logrando así, una ciudadanía empoderada y resiliente para la toma de decisiones, y, que de esta manera se incide positivamente en la formulación de las políticas públicas locales con el fin de trabajar conjuntamente con las y los vecinos del DMQ; así como el fortalecimiento del Sistema Metropolitano de Participación Ciudadana y Control Social establecido en la normativa local vigente. </w:t>
      </w:r>
    </w:p>
    <w:p w:rsidR="0007736A" w:rsidRDefault="0007736A">
      <w:pPr>
        <w:spacing w:after="0" w:line="240" w:lineRule="auto"/>
        <w:jc w:val="both"/>
        <w:rPr>
          <w:sz w:val="24"/>
          <w:szCs w:val="24"/>
        </w:rPr>
      </w:pPr>
    </w:p>
    <w:p w:rsidR="0007736A" w:rsidRDefault="00016113">
      <w:pPr>
        <w:spacing w:after="0" w:line="240" w:lineRule="auto"/>
        <w:jc w:val="both"/>
        <w:rPr>
          <w:sz w:val="24"/>
          <w:szCs w:val="24"/>
        </w:rPr>
      </w:pPr>
      <w:r>
        <w:rPr>
          <w:sz w:val="24"/>
          <w:szCs w:val="24"/>
        </w:rPr>
        <w:t>En este contexto, el Segundo Plan de Acción de Gobierno Abierto (PAGA) 2022-2023 del MDMQ incluye en su compromiso 1 el “</w:t>
      </w:r>
      <w:r>
        <w:rPr>
          <w:i/>
          <w:sz w:val="24"/>
          <w:szCs w:val="24"/>
        </w:rPr>
        <w:t xml:space="preserve">Desarrollar procesos de capacitación y formación en participación ciudadana efectiva en el Distrito Metropolitano de Quito a través de sus Administraciones Zonales, en colaboración con OSC y/o academia para potenciar los índices de participación e incidencia en la toma de decisiones locales, como una estrategia continua”, </w:t>
      </w:r>
      <w:r>
        <w:rPr>
          <w:iCs/>
          <w:sz w:val="24"/>
          <w:szCs w:val="24"/>
        </w:rPr>
        <w:t>mis</w:t>
      </w:r>
      <w:r>
        <w:rPr>
          <w:sz w:val="24"/>
          <w:szCs w:val="24"/>
        </w:rPr>
        <w:t>mo que tiene como responsable a la SGCTyPC y como co-responsable a la Universidad Hemisferios.</w:t>
      </w:r>
    </w:p>
    <w:p w:rsidR="0007736A" w:rsidRDefault="0007736A">
      <w:pPr>
        <w:spacing w:after="0" w:line="240" w:lineRule="auto"/>
        <w:jc w:val="both"/>
        <w:rPr>
          <w:i/>
          <w:sz w:val="24"/>
          <w:szCs w:val="24"/>
        </w:rPr>
      </w:pPr>
    </w:p>
    <w:p w:rsidR="0007736A" w:rsidRDefault="00016113">
      <w:pPr>
        <w:spacing w:after="0" w:line="240" w:lineRule="auto"/>
        <w:jc w:val="both"/>
        <w:rPr>
          <w:sz w:val="24"/>
          <w:szCs w:val="24"/>
        </w:rPr>
      </w:pPr>
      <w:r>
        <w:rPr>
          <w:sz w:val="24"/>
          <w:szCs w:val="24"/>
        </w:rPr>
        <w:t xml:space="preserve">Como parte de la ejecución del compromiso la SGCTyPC, en 2022 se realizó una mesa de trabajo en la que se desarrolló un documento articulado entre la ciudadanía y la academia respecto de temas y objetivos para la formulación de planes de capacitación sobre </w:t>
      </w:r>
      <w:r>
        <w:rPr>
          <w:sz w:val="24"/>
          <w:szCs w:val="24"/>
        </w:rPr>
        <w:lastRenderedPageBreak/>
        <w:t>participación ciudadana. De esta forma se daba cumplimiento a la actividad del hito 2 del PAGA “</w:t>
      </w:r>
      <w:r>
        <w:rPr>
          <w:i/>
          <w:sz w:val="24"/>
          <w:szCs w:val="24"/>
        </w:rPr>
        <w:t>Co-Creación y formulación entre la academia y la ciudadanía de planes de capacitación y metodología para formación en participación Ciudadana en el Distrito Metropolitana de Quito a través de las 8 Administraciones Zonales y la Administración Zonal Especial Turística La Mariscal</w:t>
      </w:r>
      <w:r>
        <w:rPr>
          <w:sz w:val="24"/>
          <w:szCs w:val="24"/>
        </w:rPr>
        <w:t>”.</w:t>
      </w:r>
    </w:p>
    <w:p w:rsidR="0007736A" w:rsidRDefault="0007736A">
      <w:pPr>
        <w:spacing w:after="0" w:line="240" w:lineRule="auto"/>
        <w:jc w:val="both"/>
        <w:rPr>
          <w:sz w:val="24"/>
          <w:szCs w:val="24"/>
        </w:rPr>
      </w:pPr>
    </w:p>
    <w:p w:rsidR="0007736A" w:rsidRDefault="00016113">
      <w:pPr>
        <w:spacing w:after="0" w:line="240" w:lineRule="auto"/>
        <w:jc w:val="both"/>
        <w:rPr>
          <w:sz w:val="24"/>
          <w:szCs w:val="24"/>
        </w:rPr>
      </w:pPr>
      <w:r>
        <w:rPr>
          <w:sz w:val="24"/>
          <w:szCs w:val="24"/>
        </w:rPr>
        <w:t>Para continuar con la ejecución del compromiso se plantea la siguiente propuesta de formación en participación ciudadana:</w:t>
      </w:r>
    </w:p>
    <w:p w:rsidR="0007736A" w:rsidRDefault="0007736A">
      <w:pPr>
        <w:spacing w:after="0" w:line="240" w:lineRule="auto"/>
        <w:jc w:val="both"/>
        <w:rPr>
          <w:sz w:val="24"/>
          <w:szCs w:val="24"/>
        </w:rPr>
      </w:pPr>
    </w:p>
    <w:p w:rsidR="0007736A" w:rsidRDefault="0007736A">
      <w:pPr>
        <w:spacing w:after="0" w:line="240" w:lineRule="auto"/>
        <w:jc w:val="both"/>
        <w:rPr>
          <w:b/>
          <w:sz w:val="24"/>
          <w:szCs w:val="24"/>
        </w:rPr>
      </w:pPr>
    </w:p>
    <w:p w:rsidR="0007736A" w:rsidRDefault="00016113">
      <w:pPr>
        <w:numPr>
          <w:ilvl w:val="0"/>
          <w:numId w:val="1"/>
        </w:numPr>
        <w:pBdr>
          <w:top w:val="nil"/>
          <w:left w:val="nil"/>
          <w:bottom w:val="nil"/>
          <w:right w:val="nil"/>
          <w:between w:val="nil"/>
        </w:pBdr>
        <w:spacing w:after="0" w:line="240" w:lineRule="auto"/>
        <w:rPr>
          <w:b/>
          <w:color w:val="000000"/>
          <w:sz w:val="24"/>
          <w:szCs w:val="24"/>
        </w:rPr>
      </w:pPr>
      <w:r>
        <w:rPr>
          <w:b/>
          <w:color w:val="000000"/>
          <w:sz w:val="24"/>
          <w:szCs w:val="24"/>
        </w:rPr>
        <w:t>Objetivos</w:t>
      </w:r>
    </w:p>
    <w:p w:rsidR="0007736A" w:rsidRDefault="0007736A">
      <w:pPr>
        <w:spacing w:after="0" w:line="240" w:lineRule="auto"/>
        <w:jc w:val="both"/>
        <w:rPr>
          <w:b/>
          <w:i/>
          <w:iCs/>
          <w:sz w:val="24"/>
          <w:szCs w:val="24"/>
        </w:rPr>
      </w:pPr>
    </w:p>
    <w:p w:rsidR="0007736A" w:rsidRDefault="00016113">
      <w:pPr>
        <w:spacing w:after="0" w:line="240" w:lineRule="auto"/>
        <w:jc w:val="both"/>
        <w:rPr>
          <w:b/>
          <w:i/>
          <w:iCs/>
          <w:sz w:val="24"/>
          <w:szCs w:val="24"/>
        </w:rPr>
      </w:pPr>
      <w:r>
        <w:rPr>
          <w:b/>
          <w:i/>
          <w:iCs/>
          <w:sz w:val="24"/>
          <w:szCs w:val="24"/>
        </w:rPr>
        <w:t>Objetivo General</w:t>
      </w:r>
    </w:p>
    <w:p w:rsidR="0007736A" w:rsidRDefault="00016113">
      <w:pPr>
        <w:spacing w:after="0" w:line="240" w:lineRule="auto"/>
        <w:jc w:val="both"/>
        <w:rPr>
          <w:sz w:val="24"/>
          <w:szCs w:val="24"/>
        </w:rPr>
      </w:pPr>
      <w:r>
        <w:rPr>
          <w:sz w:val="24"/>
          <w:szCs w:val="24"/>
        </w:rPr>
        <w:t>Capacitar a diversos actores sociales del MDMQ para fortalecer la participación ciudadana en los procesos de gestión a nivel local.</w:t>
      </w:r>
    </w:p>
    <w:p w:rsidR="0007736A" w:rsidRDefault="0007736A">
      <w:pPr>
        <w:spacing w:after="0" w:line="240" w:lineRule="auto"/>
        <w:jc w:val="both"/>
        <w:rPr>
          <w:sz w:val="24"/>
          <w:szCs w:val="24"/>
        </w:rPr>
      </w:pPr>
    </w:p>
    <w:p w:rsidR="0007736A" w:rsidRDefault="00016113">
      <w:pPr>
        <w:spacing w:after="0" w:line="240" w:lineRule="auto"/>
        <w:jc w:val="both"/>
        <w:rPr>
          <w:b/>
          <w:i/>
          <w:iCs/>
          <w:sz w:val="24"/>
          <w:szCs w:val="24"/>
        </w:rPr>
      </w:pPr>
      <w:r>
        <w:rPr>
          <w:b/>
          <w:i/>
          <w:iCs/>
          <w:sz w:val="24"/>
          <w:szCs w:val="24"/>
        </w:rPr>
        <w:t xml:space="preserve">Objetivos Específicos </w:t>
      </w:r>
    </w:p>
    <w:p w:rsidR="0007736A" w:rsidRDefault="00016113">
      <w:pPr>
        <w:numPr>
          <w:ilvl w:val="0"/>
          <w:numId w:val="4"/>
        </w:numPr>
        <w:pBdr>
          <w:top w:val="nil"/>
          <w:left w:val="nil"/>
          <w:bottom w:val="nil"/>
          <w:right w:val="nil"/>
          <w:between w:val="nil"/>
        </w:pBdr>
        <w:spacing w:after="0" w:line="240" w:lineRule="auto"/>
        <w:jc w:val="both"/>
        <w:rPr>
          <w:color w:val="000000"/>
          <w:sz w:val="24"/>
          <w:szCs w:val="24"/>
        </w:rPr>
      </w:pPr>
      <w:r>
        <w:rPr>
          <w:color w:val="000000"/>
          <w:sz w:val="24"/>
          <w:szCs w:val="24"/>
        </w:rPr>
        <w:t>Fortalecer los conocimientos de la ciudadanía en aspectos de participación ciudadana.</w:t>
      </w:r>
    </w:p>
    <w:p w:rsidR="0007736A" w:rsidRDefault="00016113">
      <w:pPr>
        <w:numPr>
          <w:ilvl w:val="0"/>
          <w:numId w:val="4"/>
        </w:numPr>
        <w:pBdr>
          <w:top w:val="nil"/>
          <w:left w:val="nil"/>
          <w:bottom w:val="nil"/>
          <w:right w:val="nil"/>
          <w:between w:val="nil"/>
        </w:pBdr>
        <w:spacing w:after="0" w:line="240" w:lineRule="auto"/>
        <w:jc w:val="both"/>
        <w:rPr>
          <w:color w:val="000000"/>
          <w:sz w:val="24"/>
          <w:szCs w:val="24"/>
        </w:rPr>
      </w:pPr>
      <w:r>
        <w:rPr>
          <w:color w:val="000000"/>
          <w:sz w:val="24"/>
          <w:szCs w:val="24"/>
        </w:rPr>
        <w:t xml:space="preserve">Brindar </w:t>
      </w:r>
      <w:r>
        <w:rPr>
          <w:sz w:val="24"/>
          <w:szCs w:val="24"/>
        </w:rPr>
        <w:t>técnicas</w:t>
      </w:r>
      <w:r>
        <w:rPr>
          <w:color w:val="000000"/>
          <w:sz w:val="24"/>
          <w:szCs w:val="24"/>
        </w:rPr>
        <w:t xml:space="preserve"> que </w:t>
      </w:r>
      <w:r>
        <w:rPr>
          <w:sz w:val="24"/>
          <w:szCs w:val="24"/>
        </w:rPr>
        <w:t>ayuden</w:t>
      </w:r>
      <w:r>
        <w:rPr>
          <w:color w:val="000000"/>
          <w:sz w:val="24"/>
          <w:szCs w:val="24"/>
        </w:rPr>
        <w:t xml:space="preserve"> a la ciudadanía en el manejo de trabajo grupal entre vecinos.</w:t>
      </w:r>
    </w:p>
    <w:p w:rsidR="0007736A" w:rsidRDefault="0007736A">
      <w:pPr>
        <w:spacing w:after="0" w:line="240" w:lineRule="auto"/>
        <w:jc w:val="both"/>
        <w:rPr>
          <w:b/>
          <w:sz w:val="24"/>
          <w:szCs w:val="24"/>
        </w:rPr>
      </w:pPr>
    </w:p>
    <w:p w:rsidR="0007736A" w:rsidRDefault="00016113">
      <w:pPr>
        <w:numPr>
          <w:ilvl w:val="0"/>
          <w:numId w:val="1"/>
        </w:numPr>
        <w:pBdr>
          <w:top w:val="nil"/>
          <w:left w:val="nil"/>
          <w:bottom w:val="nil"/>
          <w:right w:val="nil"/>
          <w:between w:val="nil"/>
        </w:pBdr>
        <w:spacing w:after="0" w:line="240" w:lineRule="auto"/>
        <w:rPr>
          <w:b/>
          <w:color w:val="000000"/>
          <w:sz w:val="24"/>
          <w:szCs w:val="24"/>
        </w:rPr>
      </w:pPr>
      <w:r>
        <w:rPr>
          <w:b/>
          <w:color w:val="000000"/>
          <w:sz w:val="24"/>
          <w:szCs w:val="24"/>
        </w:rPr>
        <w:t>Metodología</w:t>
      </w:r>
    </w:p>
    <w:p w:rsidR="0007736A" w:rsidRDefault="0007736A">
      <w:pPr>
        <w:spacing w:after="0" w:line="240" w:lineRule="auto"/>
        <w:jc w:val="both"/>
        <w:rPr>
          <w:sz w:val="24"/>
          <w:szCs w:val="24"/>
        </w:rPr>
      </w:pPr>
    </w:p>
    <w:p w:rsidR="0007736A" w:rsidRDefault="00016113">
      <w:pPr>
        <w:spacing w:after="0" w:line="240" w:lineRule="auto"/>
        <w:jc w:val="both"/>
        <w:rPr>
          <w:sz w:val="24"/>
          <w:szCs w:val="24"/>
        </w:rPr>
      </w:pPr>
      <w:r>
        <w:rPr>
          <w:sz w:val="24"/>
          <w:szCs w:val="24"/>
        </w:rPr>
        <w:t xml:space="preserve">Es importante considerar que el grupo que participará en el proceso de capacitación es heterogéneo, adulto, con diferentes maneras de aprender y distintas expectativas frente a su rol en los procesos de participación ciudadana en el MDMQ, por lo cual se hace necesario aplicar una metodología que pueda satisfacer a cada uno de los participantes en su manera de aprender. </w:t>
      </w:r>
    </w:p>
    <w:p w:rsidR="0007736A" w:rsidRDefault="0007736A">
      <w:pPr>
        <w:spacing w:after="0" w:line="240" w:lineRule="auto"/>
        <w:jc w:val="both"/>
        <w:rPr>
          <w:sz w:val="24"/>
          <w:szCs w:val="24"/>
        </w:rPr>
      </w:pPr>
    </w:p>
    <w:p w:rsidR="0007736A" w:rsidRDefault="00016113">
      <w:pPr>
        <w:spacing w:after="0" w:line="240" w:lineRule="auto"/>
        <w:jc w:val="both"/>
        <w:rPr>
          <w:sz w:val="24"/>
          <w:szCs w:val="24"/>
        </w:rPr>
      </w:pPr>
      <w:r>
        <w:rPr>
          <w:sz w:val="24"/>
          <w:szCs w:val="24"/>
        </w:rPr>
        <w:t xml:space="preserve">La metodología que se propone está diseñada específicamente para educación andragógica (educación para adultos) que trata de respetar y potenciar cada uno de los estilos de aprendizaje: parte de una experiencia concreta, se genera reflexión, se conceptualiza y se aplica. </w:t>
      </w:r>
    </w:p>
    <w:p w:rsidR="0007736A" w:rsidRDefault="0007736A">
      <w:pPr>
        <w:spacing w:after="0" w:line="240" w:lineRule="auto"/>
        <w:jc w:val="both"/>
        <w:rPr>
          <w:sz w:val="24"/>
          <w:szCs w:val="24"/>
        </w:rPr>
      </w:pPr>
    </w:p>
    <w:p w:rsidR="0007736A" w:rsidRDefault="00016113">
      <w:pPr>
        <w:spacing w:after="0" w:line="240" w:lineRule="auto"/>
        <w:jc w:val="both"/>
        <w:rPr>
          <w:sz w:val="24"/>
          <w:szCs w:val="24"/>
        </w:rPr>
      </w:pPr>
      <w:r>
        <w:rPr>
          <w:noProof/>
          <w:sz w:val="24"/>
          <w:szCs w:val="24"/>
          <w:lang w:eastAsia="es-EC"/>
        </w:rPr>
        <w:lastRenderedPageBreak/>
        <w:drawing>
          <wp:inline distT="0" distB="0" distL="0" distR="0">
            <wp:extent cx="5086350" cy="2876550"/>
            <wp:effectExtent l="0" t="0" r="0" b="0"/>
            <wp:docPr id="1026" name="Diagrama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07736A" w:rsidRDefault="0007736A">
      <w:pPr>
        <w:spacing w:after="0" w:line="240" w:lineRule="auto"/>
        <w:jc w:val="both"/>
        <w:rPr>
          <w:sz w:val="24"/>
          <w:szCs w:val="24"/>
        </w:rPr>
      </w:pPr>
    </w:p>
    <w:p w:rsidR="0007736A" w:rsidRDefault="0007736A">
      <w:pPr>
        <w:spacing w:after="0" w:line="240" w:lineRule="auto"/>
        <w:jc w:val="both"/>
        <w:rPr>
          <w:sz w:val="24"/>
          <w:szCs w:val="24"/>
        </w:rPr>
      </w:pPr>
    </w:p>
    <w:p w:rsidR="0007736A" w:rsidRDefault="00016113">
      <w:pPr>
        <w:spacing w:after="0" w:line="240" w:lineRule="auto"/>
        <w:jc w:val="both"/>
        <w:rPr>
          <w:sz w:val="24"/>
          <w:szCs w:val="24"/>
        </w:rPr>
      </w:pPr>
      <w:r>
        <w:rPr>
          <w:sz w:val="24"/>
          <w:szCs w:val="24"/>
        </w:rPr>
        <w:t>Para lograr los objetivos propuestos los instructores deberán aplicar el esquema metodológico en su espacio de trabajo, priorizando espacios de aplicación práctica de conceptos (dinámicas, preguntas integradoras, ejercicios, etc.) y generando un espacio de interacción con los participantes.</w:t>
      </w:r>
    </w:p>
    <w:p w:rsidR="0007736A" w:rsidRDefault="0007736A">
      <w:pPr>
        <w:spacing w:after="0" w:line="240" w:lineRule="auto"/>
        <w:jc w:val="both"/>
        <w:rPr>
          <w:sz w:val="24"/>
          <w:szCs w:val="24"/>
        </w:rPr>
      </w:pPr>
    </w:p>
    <w:p w:rsidR="0007736A" w:rsidRDefault="00016113">
      <w:pPr>
        <w:spacing w:after="0" w:line="240" w:lineRule="auto"/>
        <w:jc w:val="both"/>
        <w:rPr>
          <w:sz w:val="24"/>
          <w:szCs w:val="24"/>
        </w:rPr>
      </w:pPr>
      <w:r>
        <w:rPr>
          <w:sz w:val="24"/>
          <w:szCs w:val="24"/>
        </w:rPr>
        <w:t xml:space="preserve">Adicionalmente, deben generar una batería de 3 preguntas clave de sobre su tema (respecto de los objetivos de aprendizaje), para las encuestas de entrada y salida, respecto de los objetivos de aprendizaje. </w:t>
      </w:r>
    </w:p>
    <w:p w:rsidR="0007736A" w:rsidRDefault="0007736A">
      <w:pPr>
        <w:spacing w:after="0" w:line="240" w:lineRule="auto"/>
        <w:jc w:val="both"/>
        <w:rPr>
          <w:sz w:val="24"/>
          <w:szCs w:val="24"/>
        </w:rPr>
      </w:pPr>
    </w:p>
    <w:p w:rsidR="0007736A" w:rsidRDefault="00016113">
      <w:pPr>
        <w:spacing w:after="0" w:line="240" w:lineRule="auto"/>
        <w:jc w:val="both"/>
        <w:rPr>
          <w:sz w:val="24"/>
          <w:szCs w:val="24"/>
        </w:rPr>
      </w:pPr>
      <w:r>
        <w:rPr>
          <w:sz w:val="24"/>
          <w:szCs w:val="24"/>
        </w:rPr>
        <w:t xml:space="preserve">El proceso de capacitación se desarrollará en dos jornadas diferenciadas, conforme se detalla a continuación: </w:t>
      </w:r>
    </w:p>
    <w:p w:rsidR="0007736A" w:rsidRDefault="0007736A">
      <w:pPr>
        <w:spacing w:after="0" w:line="240" w:lineRule="auto"/>
        <w:jc w:val="both"/>
        <w:rPr>
          <w:sz w:val="24"/>
          <w:szCs w:val="24"/>
        </w:rPr>
      </w:pPr>
    </w:p>
    <w:tbl>
      <w:tblPr>
        <w:tblStyle w:val="a"/>
        <w:tblW w:w="9351" w:type="dxa"/>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1413"/>
        <w:gridCol w:w="1559"/>
        <w:gridCol w:w="1418"/>
        <w:gridCol w:w="1275"/>
        <w:gridCol w:w="1985"/>
        <w:gridCol w:w="1701"/>
      </w:tblGrid>
      <w:tr w:rsidR="0007736A" w:rsidTr="0007736A">
        <w:trPr>
          <w:cnfStyle w:val="100000000000" w:firstRow="1" w:lastRow="0" w:firstColumn="0" w:lastColumn="0" w:oddVBand="0" w:evenVBand="0" w:oddHBand="0"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1413" w:type="dxa"/>
          </w:tcPr>
          <w:p w:rsidR="0007736A" w:rsidRDefault="00016113">
            <w:pPr>
              <w:jc w:val="center"/>
              <w:rPr>
                <w:sz w:val="20"/>
                <w:szCs w:val="20"/>
              </w:rPr>
            </w:pPr>
            <w:r>
              <w:rPr>
                <w:sz w:val="20"/>
                <w:szCs w:val="20"/>
              </w:rPr>
              <w:t>Fechas</w:t>
            </w:r>
          </w:p>
        </w:tc>
        <w:tc>
          <w:tcPr>
            <w:tcW w:w="1559" w:type="dxa"/>
          </w:tcPr>
          <w:p w:rsidR="0007736A" w:rsidRDefault="00016113">
            <w:pPr>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Horarios</w:t>
            </w:r>
          </w:p>
        </w:tc>
        <w:tc>
          <w:tcPr>
            <w:tcW w:w="1418" w:type="dxa"/>
          </w:tcPr>
          <w:p w:rsidR="0007736A" w:rsidRDefault="00016113">
            <w:pPr>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Lugar</w:t>
            </w:r>
          </w:p>
        </w:tc>
        <w:tc>
          <w:tcPr>
            <w:tcW w:w="1275" w:type="dxa"/>
          </w:tcPr>
          <w:p w:rsidR="0007736A" w:rsidRDefault="00016113">
            <w:pPr>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Asistentes (Aprox)</w:t>
            </w:r>
          </w:p>
        </w:tc>
        <w:tc>
          <w:tcPr>
            <w:tcW w:w="1985" w:type="dxa"/>
          </w:tcPr>
          <w:p w:rsidR="0007736A" w:rsidRDefault="00016113">
            <w:pPr>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Certificados</w:t>
            </w:r>
          </w:p>
        </w:tc>
        <w:tc>
          <w:tcPr>
            <w:tcW w:w="1701" w:type="dxa"/>
          </w:tcPr>
          <w:p w:rsidR="0007736A" w:rsidRDefault="00016113">
            <w:pPr>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Administraciones Zonales</w:t>
            </w:r>
          </w:p>
        </w:tc>
      </w:tr>
      <w:tr w:rsidR="0007736A" w:rsidTr="0007736A">
        <w:trPr>
          <w:trHeight w:val="625"/>
        </w:trPr>
        <w:tc>
          <w:tcPr>
            <w:cnfStyle w:val="001000000000" w:firstRow="0" w:lastRow="0" w:firstColumn="1" w:lastColumn="0" w:oddVBand="0" w:evenVBand="0" w:oddHBand="0" w:evenHBand="0" w:firstRowFirstColumn="0" w:firstRowLastColumn="0" w:lastRowFirstColumn="0" w:lastRowLastColumn="0"/>
            <w:tcW w:w="1413" w:type="dxa"/>
            <w:vAlign w:val="center"/>
          </w:tcPr>
          <w:p w:rsidR="0007736A" w:rsidRDefault="00016113">
            <w:pPr>
              <w:jc w:val="center"/>
              <w:rPr>
                <w:color w:val="FF0000"/>
                <w:sz w:val="20"/>
                <w:szCs w:val="20"/>
              </w:rPr>
            </w:pPr>
            <w:r>
              <w:rPr>
                <w:b w:val="0"/>
                <w:sz w:val="20"/>
                <w:szCs w:val="20"/>
              </w:rPr>
              <w:t>Sábado 11 de febrero 2023</w:t>
            </w:r>
          </w:p>
          <w:p w:rsidR="0007736A" w:rsidRDefault="0007736A">
            <w:pPr>
              <w:jc w:val="center"/>
              <w:rPr>
                <w:color w:val="FF0000"/>
                <w:sz w:val="20"/>
                <w:szCs w:val="20"/>
              </w:rPr>
            </w:pPr>
          </w:p>
        </w:tc>
        <w:tc>
          <w:tcPr>
            <w:tcW w:w="1559" w:type="dxa"/>
            <w:vAlign w:val="center"/>
          </w:tcPr>
          <w:p w:rsidR="0007736A" w:rsidRDefault="00016113">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lang w:val="pt-BR"/>
              </w:rPr>
              <w:t>09H00 – 13H00</w:t>
            </w:r>
          </w:p>
        </w:tc>
        <w:tc>
          <w:tcPr>
            <w:tcW w:w="1418" w:type="dxa"/>
            <w:vAlign w:val="center"/>
          </w:tcPr>
          <w:p w:rsidR="0007736A" w:rsidRDefault="00016113">
            <w:pPr>
              <w:jc w:val="center"/>
              <w:cnfStyle w:val="000000000000" w:firstRow="0" w:lastRow="0" w:firstColumn="0" w:lastColumn="0" w:oddVBand="0" w:evenVBand="0" w:oddHBand="0" w:evenHBand="0" w:firstRowFirstColumn="0" w:firstRowLastColumn="0" w:lastRowFirstColumn="0" w:lastRowLastColumn="0"/>
              <w:rPr>
                <w:sz w:val="20"/>
                <w:szCs w:val="20"/>
              </w:rPr>
            </w:pPr>
            <w:bookmarkStart w:id="0" w:name="_heading=h.gjdgxs" w:colFirst="0" w:colLast="0"/>
            <w:bookmarkEnd w:id="0"/>
            <w:r>
              <w:rPr>
                <w:sz w:val="20"/>
                <w:szCs w:val="20"/>
              </w:rPr>
              <w:t>Universidad Hemisferios, Auditorio</w:t>
            </w:r>
          </w:p>
        </w:tc>
        <w:tc>
          <w:tcPr>
            <w:tcW w:w="1275" w:type="dxa"/>
            <w:vAlign w:val="center"/>
          </w:tcPr>
          <w:p w:rsidR="0007736A" w:rsidRDefault="00016113">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40 personas</w:t>
            </w:r>
          </w:p>
        </w:tc>
        <w:tc>
          <w:tcPr>
            <w:tcW w:w="1985" w:type="dxa"/>
            <w:vAlign w:val="center"/>
          </w:tcPr>
          <w:p w:rsidR="0007736A" w:rsidRDefault="00016113">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Certificados emitidos por la Universidad Hemisferios</w:t>
            </w:r>
          </w:p>
        </w:tc>
        <w:tc>
          <w:tcPr>
            <w:tcW w:w="1701" w:type="dxa"/>
            <w:vAlign w:val="center"/>
          </w:tcPr>
          <w:p w:rsidR="0007736A" w:rsidRDefault="00016113">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4 </w:t>
            </w:r>
          </w:p>
        </w:tc>
      </w:tr>
      <w:tr w:rsidR="0007736A" w:rsidTr="0007736A">
        <w:trPr>
          <w:trHeight w:val="625"/>
        </w:trPr>
        <w:tc>
          <w:tcPr>
            <w:cnfStyle w:val="001000000000" w:firstRow="0" w:lastRow="0" w:firstColumn="1" w:lastColumn="0" w:oddVBand="0" w:evenVBand="0" w:oddHBand="0" w:evenHBand="0" w:firstRowFirstColumn="0" w:firstRowLastColumn="0" w:lastRowFirstColumn="0" w:lastRowLastColumn="0"/>
            <w:tcW w:w="1413" w:type="dxa"/>
            <w:vAlign w:val="center"/>
          </w:tcPr>
          <w:p w:rsidR="0007736A" w:rsidRDefault="00016113">
            <w:pPr>
              <w:jc w:val="center"/>
              <w:rPr>
                <w:sz w:val="20"/>
                <w:szCs w:val="20"/>
              </w:rPr>
            </w:pPr>
            <w:r>
              <w:rPr>
                <w:b w:val="0"/>
                <w:sz w:val="20"/>
                <w:szCs w:val="20"/>
              </w:rPr>
              <w:t>Sábado 4 de marzo 2023</w:t>
            </w:r>
          </w:p>
        </w:tc>
        <w:tc>
          <w:tcPr>
            <w:tcW w:w="1559" w:type="dxa"/>
            <w:vAlign w:val="center"/>
          </w:tcPr>
          <w:p w:rsidR="0007736A" w:rsidRDefault="00016113">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lang w:val="pt-BR"/>
              </w:rPr>
              <w:t>09H00 – 13H00</w:t>
            </w:r>
          </w:p>
        </w:tc>
        <w:tc>
          <w:tcPr>
            <w:tcW w:w="1418" w:type="dxa"/>
            <w:vAlign w:val="center"/>
          </w:tcPr>
          <w:p w:rsidR="0007736A" w:rsidRDefault="00016113">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Universidad Hemisferios, Auditorio</w:t>
            </w:r>
          </w:p>
        </w:tc>
        <w:tc>
          <w:tcPr>
            <w:tcW w:w="1275" w:type="dxa"/>
            <w:vAlign w:val="center"/>
          </w:tcPr>
          <w:p w:rsidR="0007736A" w:rsidRDefault="00016113">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40 personas</w:t>
            </w:r>
          </w:p>
        </w:tc>
        <w:tc>
          <w:tcPr>
            <w:tcW w:w="1985" w:type="dxa"/>
            <w:vAlign w:val="center"/>
          </w:tcPr>
          <w:p w:rsidR="0007736A" w:rsidRDefault="00016113">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Certificados emitidos por la Universidad</w:t>
            </w:r>
          </w:p>
          <w:p w:rsidR="0007736A" w:rsidRDefault="00016113">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Hemisferios</w:t>
            </w:r>
          </w:p>
        </w:tc>
        <w:tc>
          <w:tcPr>
            <w:tcW w:w="1701" w:type="dxa"/>
            <w:vAlign w:val="center"/>
          </w:tcPr>
          <w:p w:rsidR="0007736A" w:rsidRDefault="00016113">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w:t>
            </w:r>
          </w:p>
        </w:tc>
      </w:tr>
    </w:tbl>
    <w:p w:rsidR="0007736A" w:rsidRDefault="0007736A">
      <w:pPr>
        <w:spacing w:after="0" w:line="240" w:lineRule="auto"/>
        <w:jc w:val="both"/>
        <w:rPr>
          <w:sz w:val="24"/>
          <w:szCs w:val="24"/>
        </w:rPr>
      </w:pPr>
    </w:p>
    <w:p w:rsidR="0007736A" w:rsidRDefault="00016113">
      <w:pPr>
        <w:spacing w:after="0" w:line="240" w:lineRule="auto"/>
        <w:jc w:val="both"/>
        <w:rPr>
          <w:sz w:val="24"/>
          <w:szCs w:val="24"/>
        </w:rPr>
      </w:pPr>
      <w:r>
        <w:rPr>
          <w:sz w:val="24"/>
          <w:szCs w:val="24"/>
        </w:rPr>
        <w:t>En cada jornada de capacitación se realizará una evaluación de conocimiento a los asistentes, utilizando encuestas de entrada y salida, utilizando la plataforma Zonales Quito para quienes tengan facilidad de realizarlas de manera digital o a tra</w:t>
      </w:r>
      <w:bookmarkStart w:id="1" w:name="_GoBack"/>
      <w:bookmarkEnd w:id="1"/>
      <w:r>
        <w:rPr>
          <w:sz w:val="24"/>
          <w:szCs w:val="24"/>
        </w:rPr>
        <w:t>vés de formularios impresos.</w:t>
      </w:r>
    </w:p>
    <w:p w:rsidR="0007736A" w:rsidRDefault="0007736A">
      <w:pPr>
        <w:spacing w:after="0" w:line="240" w:lineRule="auto"/>
        <w:jc w:val="both"/>
        <w:rPr>
          <w:sz w:val="24"/>
          <w:szCs w:val="24"/>
        </w:rPr>
      </w:pPr>
    </w:p>
    <w:p w:rsidR="0007736A" w:rsidRDefault="00016113">
      <w:pPr>
        <w:spacing w:after="0" w:line="240" w:lineRule="auto"/>
        <w:jc w:val="both"/>
        <w:rPr>
          <w:sz w:val="24"/>
          <w:szCs w:val="24"/>
        </w:rPr>
      </w:pPr>
      <w:r>
        <w:rPr>
          <w:sz w:val="24"/>
          <w:szCs w:val="24"/>
        </w:rPr>
        <w:t>A los participantes se les entregará un certificado de participación avalado por la Universidad Hemisferios y la SGCTyPC por una duración de 4 horas académicas.</w:t>
      </w:r>
    </w:p>
    <w:p w:rsidR="0007736A" w:rsidRDefault="0007736A">
      <w:pPr>
        <w:spacing w:after="0" w:line="240" w:lineRule="auto"/>
        <w:jc w:val="both"/>
        <w:rPr>
          <w:sz w:val="24"/>
          <w:szCs w:val="24"/>
        </w:rPr>
      </w:pPr>
    </w:p>
    <w:p w:rsidR="0007736A" w:rsidRDefault="00016113">
      <w:pPr>
        <w:spacing w:after="0" w:line="240" w:lineRule="auto"/>
        <w:jc w:val="both"/>
        <w:rPr>
          <w:sz w:val="24"/>
          <w:szCs w:val="24"/>
        </w:rPr>
      </w:pPr>
      <w:r>
        <w:rPr>
          <w:sz w:val="24"/>
          <w:szCs w:val="24"/>
          <w:lang w:val="es-419"/>
        </w:rPr>
        <w:t xml:space="preserve">Adicionalmente, al finalizar cada jornada se aplicarán </w:t>
      </w:r>
      <w:r>
        <w:rPr>
          <w:color w:val="000000"/>
          <w:sz w:val="24"/>
          <w:szCs w:val="24"/>
        </w:rPr>
        <w:t xml:space="preserve">encuesta de satisfacción a los participantes (instructores, logística, cumplimiento de objetivos y sugerencias que ayuden a mejorar procesos de capacitación posteriores). Se utilizará </w:t>
      </w:r>
      <w:r>
        <w:rPr>
          <w:sz w:val="24"/>
          <w:szCs w:val="24"/>
        </w:rPr>
        <w:t>la plataforma Zonales Quito para quienes tengan facilidad de realizarlas de manera digital o a través de formularios impresos.</w:t>
      </w:r>
    </w:p>
    <w:p w:rsidR="0007736A" w:rsidRDefault="0007736A">
      <w:pPr>
        <w:spacing w:after="0" w:line="240" w:lineRule="auto"/>
        <w:jc w:val="both"/>
        <w:rPr>
          <w:b/>
          <w:sz w:val="24"/>
          <w:szCs w:val="24"/>
        </w:rPr>
      </w:pPr>
    </w:p>
    <w:p w:rsidR="0007736A" w:rsidRDefault="0007736A">
      <w:pPr>
        <w:spacing w:after="0" w:line="240" w:lineRule="auto"/>
        <w:jc w:val="both"/>
        <w:rPr>
          <w:b/>
          <w:sz w:val="24"/>
          <w:szCs w:val="24"/>
        </w:rPr>
      </w:pPr>
    </w:p>
    <w:p w:rsidR="0007736A" w:rsidRDefault="00016113">
      <w:pPr>
        <w:numPr>
          <w:ilvl w:val="0"/>
          <w:numId w:val="1"/>
        </w:numPr>
        <w:pBdr>
          <w:top w:val="nil"/>
          <w:left w:val="nil"/>
          <w:bottom w:val="nil"/>
          <w:right w:val="nil"/>
          <w:between w:val="nil"/>
        </w:pBdr>
        <w:spacing w:after="0" w:line="240" w:lineRule="auto"/>
        <w:rPr>
          <w:b/>
          <w:color w:val="000000"/>
          <w:sz w:val="24"/>
          <w:szCs w:val="24"/>
        </w:rPr>
      </w:pPr>
      <w:r>
        <w:rPr>
          <w:b/>
          <w:color w:val="000000"/>
          <w:sz w:val="24"/>
          <w:szCs w:val="24"/>
        </w:rPr>
        <w:t xml:space="preserve">Temario </w:t>
      </w:r>
    </w:p>
    <w:p w:rsidR="0007736A" w:rsidRDefault="0007736A">
      <w:pPr>
        <w:pBdr>
          <w:top w:val="nil"/>
          <w:left w:val="nil"/>
          <w:bottom w:val="nil"/>
          <w:right w:val="nil"/>
          <w:between w:val="nil"/>
        </w:pBdr>
        <w:spacing w:after="0" w:line="240" w:lineRule="auto"/>
        <w:rPr>
          <w:b/>
          <w:color w:val="000000"/>
          <w:sz w:val="24"/>
          <w:szCs w:val="24"/>
        </w:rPr>
      </w:pPr>
    </w:p>
    <w:p w:rsidR="0007736A" w:rsidRDefault="00016113">
      <w:pPr>
        <w:numPr>
          <w:ilvl w:val="0"/>
          <w:numId w:val="3"/>
        </w:numPr>
        <w:pBdr>
          <w:top w:val="nil"/>
          <w:left w:val="nil"/>
          <w:bottom w:val="nil"/>
          <w:right w:val="nil"/>
          <w:between w:val="nil"/>
        </w:pBdr>
        <w:spacing w:after="0" w:line="240" w:lineRule="auto"/>
        <w:jc w:val="both"/>
        <w:rPr>
          <w:color w:val="000000"/>
          <w:sz w:val="24"/>
          <w:szCs w:val="24"/>
        </w:rPr>
      </w:pPr>
      <w:r>
        <w:rPr>
          <w:color w:val="000000"/>
          <w:sz w:val="24"/>
          <w:szCs w:val="24"/>
        </w:rPr>
        <w:t xml:space="preserve">Conceptos iniciales: gobernanza, ciudadanía, construcción de lo público y participación ciudadana (15’). </w:t>
      </w:r>
    </w:p>
    <w:p w:rsidR="0007736A" w:rsidRDefault="00016113">
      <w:pPr>
        <w:pBdr>
          <w:top w:val="nil"/>
          <w:left w:val="nil"/>
          <w:bottom w:val="nil"/>
          <w:right w:val="nil"/>
          <w:between w:val="nil"/>
        </w:pBdr>
        <w:spacing w:after="0" w:line="240" w:lineRule="auto"/>
        <w:ind w:left="720"/>
        <w:jc w:val="both"/>
        <w:rPr>
          <w:color w:val="000000"/>
          <w:sz w:val="24"/>
          <w:szCs w:val="24"/>
        </w:rPr>
      </w:pPr>
      <w:r>
        <w:rPr>
          <w:color w:val="000000"/>
          <w:sz w:val="24"/>
          <w:szCs w:val="24"/>
          <w:u w:val="single"/>
        </w:rPr>
        <w:t>Profesor: Daniel Barragán, UHemisferios</w:t>
      </w:r>
      <w:r>
        <w:rPr>
          <w:color w:val="000000"/>
          <w:sz w:val="24"/>
          <w:szCs w:val="24"/>
        </w:rPr>
        <w:t>.</w:t>
      </w:r>
    </w:p>
    <w:p w:rsidR="0007736A" w:rsidRDefault="0007736A">
      <w:pPr>
        <w:pBdr>
          <w:top w:val="nil"/>
          <w:left w:val="nil"/>
          <w:bottom w:val="nil"/>
          <w:right w:val="nil"/>
          <w:between w:val="nil"/>
        </w:pBdr>
        <w:spacing w:after="0" w:line="240" w:lineRule="auto"/>
        <w:ind w:left="360"/>
        <w:jc w:val="both"/>
        <w:rPr>
          <w:color w:val="000000"/>
          <w:sz w:val="24"/>
          <w:szCs w:val="24"/>
        </w:rPr>
      </w:pPr>
    </w:p>
    <w:p w:rsidR="0007736A" w:rsidRDefault="00016113">
      <w:pPr>
        <w:numPr>
          <w:ilvl w:val="0"/>
          <w:numId w:val="3"/>
        </w:numPr>
        <w:pBdr>
          <w:top w:val="nil"/>
          <w:left w:val="nil"/>
          <w:bottom w:val="nil"/>
          <w:right w:val="nil"/>
          <w:between w:val="nil"/>
        </w:pBdr>
        <w:spacing w:after="0" w:line="240" w:lineRule="auto"/>
        <w:jc w:val="both"/>
        <w:rPr>
          <w:color w:val="000000"/>
          <w:sz w:val="24"/>
          <w:szCs w:val="24"/>
        </w:rPr>
      </w:pPr>
      <w:r>
        <w:rPr>
          <w:color w:val="000000"/>
          <w:sz w:val="24"/>
          <w:szCs w:val="24"/>
        </w:rPr>
        <w:t xml:space="preserve">Democracia representativa, democracia participativa, roles de la participación: proponente, consultivo y vinculante (60’). </w:t>
      </w:r>
    </w:p>
    <w:p w:rsidR="0007736A" w:rsidRDefault="00016113">
      <w:pPr>
        <w:pBdr>
          <w:top w:val="nil"/>
          <w:left w:val="nil"/>
          <w:bottom w:val="nil"/>
          <w:right w:val="nil"/>
          <w:between w:val="nil"/>
        </w:pBdr>
        <w:spacing w:after="0" w:line="240" w:lineRule="auto"/>
        <w:ind w:left="720"/>
        <w:jc w:val="both"/>
        <w:rPr>
          <w:color w:val="000000"/>
          <w:sz w:val="24"/>
          <w:szCs w:val="24"/>
        </w:rPr>
      </w:pPr>
      <w:r>
        <w:rPr>
          <w:color w:val="000000"/>
          <w:sz w:val="24"/>
          <w:szCs w:val="24"/>
          <w:u w:val="single"/>
        </w:rPr>
        <w:t>Profesor: Iván Ruiz, UHemisferios</w:t>
      </w:r>
      <w:r>
        <w:rPr>
          <w:color w:val="000000"/>
          <w:sz w:val="24"/>
          <w:szCs w:val="24"/>
        </w:rPr>
        <w:t>.</w:t>
      </w:r>
    </w:p>
    <w:p w:rsidR="0007736A" w:rsidRDefault="00016113">
      <w:pPr>
        <w:numPr>
          <w:ilvl w:val="0"/>
          <w:numId w:val="6"/>
        </w:numPr>
        <w:pBdr>
          <w:top w:val="nil"/>
          <w:left w:val="nil"/>
          <w:bottom w:val="nil"/>
          <w:right w:val="nil"/>
          <w:between w:val="nil"/>
        </w:pBdr>
        <w:spacing w:after="0" w:line="240" w:lineRule="auto"/>
        <w:jc w:val="both"/>
        <w:rPr>
          <w:color w:val="000000"/>
          <w:sz w:val="24"/>
          <w:szCs w:val="24"/>
        </w:rPr>
      </w:pPr>
      <w:r>
        <w:rPr>
          <w:color w:val="000000"/>
          <w:sz w:val="24"/>
          <w:szCs w:val="24"/>
        </w:rPr>
        <w:t xml:space="preserve">Principios básicos de la democracia: principio de mayoría, principio de representación, checks and balances, voz y rendición de cuentas, participación de la sociedad en el control social, gobernanza democrática.  </w:t>
      </w:r>
    </w:p>
    <w:p w:rsidR="0007736A" w:rsidRDefault="00016113">
      <w:pPr>
        <w:numPr>
          <w:ilvl w:val="0"/>
          <w:numId w:val="6"/>
        </w:numPr>
        <w:pBdr>
          <w:top w:val="nil"/>
          <w:left w:val="nil"/>
          <w:bottom w:val="nil"/>
          <w:right w:val="nil"/>
          <w:between w:val="nil"/>
        </w:pBdr>
        <w:spacing w:after="0" w:line="240" w:lineRule="auto"/>
        <w:jc w:val="both"/>
        <w:rPr>
          <w:color w:val="000000"/>
          <w:sz w:val="24"/>
          <w:szCs w:val="24"/>
        </w:rPr>
      </w:pPr>
      <w:r>
        <w:rPr>
          <w:color w:val="000000"/>
          <w:sz w:val="24"/>
          <w:szCs w:val="24"/>
        </w:rPr>
        <w:t xml:space="preserve">Sustancia de la democracia moderna: derechos fundamentales y garantismo en el ‘nuevo’ constitucionalismo. </w:t>
      </w:r>
    </w:p>
    <w:p w:rsidR="0007736A" w:rsidRDefault="00016113">
      <w:pPr>
        <w:numPr>
          <w:ilvl w:val="0"/>
          <w:numId w:val="6"/>
        </w:numPr>
        <w:pBdr>
          <w:top w:val="nil"/>
          <w:left w:val="nil"/>
          <w:bottom w:val="nil"/>
          <w:right w:val="nil"/>
          <w:between w:val="nil"/>
        </w:pBdr>
        <w:spacing w:after="0" w:line="240" w:lineRule="auto"/>
        <w:jc w:val="both"/>
        <w:rPr>
          <w:color w:val="000000"/>
          <w:sz w:val="24"/>
          <w:szCs w:val="24"/>
        </w:rPr>
      </w:pPr>
      <w:r>
        <w:rPr>
          <w:color w:val="000000"/>
          <w:sz w:val="24"/>
          <w:szCs w:val="24"/>
        </w:rPr>
        <w:t xml:space="preserve">Controles democráticos: vertical, horizontal, social y administrativo. </w:t>
      </w:r>
    </w:p>
    <w:p w:rsidR="0007736A" w:rsidRDefault="00016113">
      <w:pPr>
        <w:numPr>
          <w:ilvl w:val="0"/>
          <w:numId w:val="6"/>
        </w:numPr>
        <w:pBdr>
          <w:top w:val="nil"/>
          <w:left w:val="nil"/>
          <w:bottom w:val="nil"/>
          <w:right w:val="nil"/>
          <w:between w:val="nil"/>
        </w:pBdr>
        <w:spacing w:after="0" w:line="240" w:lineRule="auto"/>
        <w:jc w:val="both"/>
        <w:rPr>
          <w:color w:val="000000"/>
          <w:sz w:val="24"/>
          <w:szCs w:val="24"/>
        </w:rPr>
      </w:pPr>
      <w:r>
        <w:rPr>
          <w:color w:val="000000"/>
          <w:sz w:val="24"/>
          <w:szCs w:val="24"/>
        </w:rPr>
        <w:t xml:space="preserve">Actores e instituciones: el rol de los líderes sociales en la consolidación de la democracia y el combate a la corrupción. Proponente, consultivo y vinculante. </w:t>
      </w:r>
    </w:p>
    <w:p w:rsidR="0007736A" w:rsidRDefault="00016113">
      <w:pPr>
        <w:numPr>
          <w:ilvl w:val="0"/>
          <w:numId w:val="6"/>
        </w:numPr>
        <w:pBdr>
          <w:top w:val="nil"/>
          <w:left w:val="nil"/>
          <w:bottom w:val="nil"/>
          <w:right w:val="nil"/>
          <w:between w:val="nil"/>
        </w:pBdr>
        <w:spacing w:after="0" w:line="240" w:lineRule="auto"/>
        <w:jc w:val="both"/>
        <w:rPr>
          <w:color w:val="000000"/>
          <w:sz w:val="24"/>
          <w:szCs w:val="24"/>
        </w:rPr>
      </w:pPr>
      <w:r>
        <w:rPr>
          <w:color w:val="000000"/>
          <w:sz w:val="24"/>
          <w:szCs w:val="24"/>
        </w:rPr>
        <w:t>Dinámica de aplicación (juego de roles)</w:t>
      </w:r>
    </w:p>
    <w:p w:rsidR="0007736A" w:rsidRDefault="0007736A">
      <w:pPr>
        <w:pBdr>
          <w:top w:val="nil"/>
          <w:left w:val="nil"/>
          <w:bottom w:val="nil"/>
          <w:right w:val="nil"/>
          <w:between w:val="nil"/>
        </w:pBdr>
        <w:spacing w:after="0" w:line="240" w:lineRule="auto"/>
        <w:ind w:left="360"/>
        <w:jc w:val="both"/>
        <w:rPr>
          <w:color w:val="000000"/>
          <w:sz w:val="24"/>
          <w:szCs w:val="24"/>
        </w:rPr>
      </w:pPr>
    </w:p>
    <w:p w:rsidR="0007736A" w:rsidRDefault="00016113">
      <w:pPr>
        <w:numPr>
          <w:ilvl w:val="0"/>
          <w:numId w:val="3"/>
        </w:numPr>
        <w:pBdr>
          <w:top w:val="nil"/>
          <w:left w:val="nil"/>
          <w:bottom w:val="nil"/>
          <w:right w:val="nil"/>
          <w:between w:val="nil"/>
        </w:pBdr>
        <w:spacing w:after="0" w:line="240" w:lineRule="auto"/>
        <w:jc w:val="both"/>
        <w:rPr>
          <w:color w:val="000000"/>
          <w:sz w:val="24"/>
          <w:szCs w:val="24"/>
        </w:rPr>
      </w:pPr>
      <w:r>
        <w:rPr>
          <w:color w:val="000000"/>
          <w:sz w:val="24"/>
          <w:szCs w:val="24"/>
        </w:rPr>
        <w:t>Mecanismos de participación ciudadana y control social (45’).</w:t>
      </w:r>
    </w:p>
    <w:p w:rsidR="0007736A" w:rsidRDefault="00016113">
      <w:pPr>
        <w:pBdr>
          <w:top w:val="nil"/>
          <w:left w:val="nil"/>
          <w:bottom w:val="nil"/>
          <w:right w:val="nil"/>
          <w:between w:val="nil"/>
        </w:pBdr>
        <w:spacing w:after="0" w:line="240" w:lineRule="auto"/>
        <w:ind w:left="720"/>
        <w:jc w:val="both"/>
        <w:rPr>
          <w:color w:val="000000"/>
          <w:sz w:val="24"/>
          <w:szCs w:val="24"/>
          <w:u w:val="single"/>
        </w:rPr>
      </w:pPr>
      <w:r>
        <w:rPr>
          <w:color w:val="000000"/>
          <w:sz w:val="24"/>
          <w:szCs w:val="24"/>
          <w:u w:val="single"/>
        </w:rPr>
        <w:t>Profesor: María José Escobar, MDMQ</w:t>
      </w:r>
    </w:p>
    <w:p w:rsidR="0007736A" w:rsidRDefault="0007736A">
      <w:pPr>
        <w:spacing w:after="0" w:line="240" w:lineRule="auto"/>
        <w:ind w:left="360"/>
        <w:jc w:val="both"/>
        <w:rPr>
          <w:sz w:val="24"/>
          <w:szCs w:val="24"/>
        </w:rPr>
      </w:pPr>
    </w:p>
    <w:p w:rsidR="0007736A" w:rsidRDefault="00016113">
      <w:pPr>
        <w:numPr>
          <w:ilvl w:val="0"/>
          <w:numId w:val="3"/>
        </w:numPr>
        <w:spacing w:after="0" w:line="240" w:lineRule="auto"/>
        <w:jc w:val="both"/>
        <w:rPr>
          <w:sz w:val="24"/>
          <w:szCs w:val="24"/>
        </w:rPr>
      </w:pPr>
      <w:r>
        <w:rPr>
          <w:sz w:val="24"/>
          <w:szCs w:val="24"/>
        </w:rPr>
        <w:t xml:space="preserve">Perfil de una dirigencia social, tipos de dirigencias y dirigentes, funciones y responsabilidades del compromiso </w:t>
      </w:r>
      <w:r w:rsidR="002A2CF2">
        <w:rPr>
          <w:sz w:val="24"/>
          <w:szCs w:val="24"/>
        </w:rPr>
        <w:t>social y trabajo comunitario (20</w:t>
      </w:r>
      <w:r>
        <w:rPr>
          <w:sz w:val="24"/>
          <w:szCs w:val="24"/>
        </w:rPr>
        <w:t>’</w:t>
      </w:r>
      <w:r w:rsidR="002A2CF2">
        <w:rPr>
          <w:sz w:val="24"/>
          <w:szCs w:val="24"/>
        </w:rPr>
        <w:t xml:space="preserve"> y 25’ respectivamente</w:t>
      </w:r>
      <w:r>
        <w:rPr>
          <w:sz w:val="24"/>
          <w:szCs w:val="24"/>
        </w:rPr>
        <w:t>).</w:t>
      </w:r>
    </w:p>
    <w:p w:rsidR="0007736A" w:rsidRDefault="00016113">
      <w:pPr>
        <w:spacing w:after="0" w:line="240" w:lineRule="auto"/>
        <w:ind w:left="720"/>
        <w:jc w:val="both"/>
        <w:rPr>
          <w:color w:val="000000"/>
          <w:sz w:val="24"/>
          <w:szCs w:val="24"/>
          <w:u w:val="single"/>
        </w:rPr>
      </w:pPr>
      <w:r>
        <w:rPr>
          <w:color w:val="000000"/>
          <w:sz w:val="24"/>
          <w:szCs w:val="24"/>
          <w:u w:val="single"/>
        </w:rPr>
        <w:t xml:space="preserve">Profesor: </w:t>
      </w:r>
      <w:r w:rsidR="002A2CF2">
        <w:rPr>
          <w:color w:val="000000"/>
          <w:sz w:val="24"/>
          <w:szCs w:val="24"/>
          <w:u w:val="single"/>
        </w:rPr>
        <w:t xml:space="preserve">José Calderón, Dirigente social </w:t>
      </w:r>
    </w:p>
    <w:p w:rsidR="002A2CF2" w:rsidRDefault="002A2CF2" w:rsidP="002A2CF2">
      <w:pPr>
        <w:spacing w:after="0" w:line="240" w:lineRule="auto"/>
        <w:ind w:left="720"/>
        <w:jc w:val="both"/>
        <w:rPr>
          <w:sz w:val="24"/>
          <w:szCs w:val="24"/>
        </w:rPr>
      </w:pPr>
      <w:r>
        <w:rPr>
          <w:color w:val="000000"/>
          <w:sz w:val="24"/>
          <w:szCs w:val="24"/>
          <w:u w:val="single"/>
        </w:rPr>
        <w:t xml:space="preserve">Profesor: Jefferson Sandoval, Dirigente social </w:t>
      </w:r>
    </w:p>
    <w:p w:rsidR="002A2CF2" w:rsidRDefault="002A2CF2">
      <w:pPr>
        <w:spacing w:after="0" w:line="240" w:lineRule="auto"/>
        <w:ind w:left="720"/>
        <w:jc w:val="both"/>
        <w:rPr>
          <w:sz w:val="24"/>
          <w:szCs w:val="24"/>
        </w:rPr>
      </w:pPr>
    </w:p>
    <w:p w:rsidR="0007736A" w:rsidRDefault="0007736A">
      <w:pPr>
        <w:pBdr>
          <w:top w:val="nil"/>
          <w:left w:val="nil"/>
          <w:bottom w:val="nil"/>
          <w:right w:val="nil"/>
          <w:between w:val="nil"/>
        </w:pBdr>
        <w:spacing w:after="0" w:line="240" w:lineRule="auto"/>
        <w:ind w:left="360"/>
        <w:jc w:val="both"/>
        <w:rPr>
          <w:color w:val="000000"/>
          <w:sz w:val="24"/>
          <w:szCs w:val="24"/>
        </w:rPr>
      </w:pPr>
    </w:p>
    <w:p w:rsidR="0007736A" w:rsidRDefault="00016113">
      <w:pPr>
        <w:numPr>
          <w:ilvl w:val="0"/>
          <w:numId w:val="3"/>
        </w:numPr>
        <w:pBdr>
          <w:top w:val="nil"/>
          <w:left w:val="nil"/>
          <w:bottom w:val="nil"/>
          <w:right w:val="nil"/>
          <w:between w:val="nil"/>
        </w:pBdr>
        <w:spacing w:after="0" w:line="240" w:lineRule="auto"/>
        <w:jc w:val="both"/>
        <w:rPr>
          <w:color w:val="000000"/>
          <w:sz w:val="24"/>
          <w:szCs w:val="24"/>
        </w:rPr>
      </w:pPr>
      <w:r>
        <w:rPr>
          <w:color w:val="000000"/>
          <w:sz w:val="24"/>
          <w:szCs w:val="24"/>
        </w:rPr>
        <w:t xml:space="preserve">Metodologías para el trabajo con grupos, liderazgo y habilidades de oratoria y expresión (45’). </w:t>
      </w:r>
    </w:p>
    <w:p w:rsidR="0007736A" w:rsidRDefault="00016113">
      <w:pPr>
        <w:spacing w:after="0" w:line="240" w:lineRule="auto"/>
        <w:ind w:left="720"/>
        <w:jc w:val="both"/>
        <w:rPr>
          <w:color w:val="000000"/>
          <w:sz w:val="24"/>
          <w:szCs w:val="24"/>
          <w:u w:val="single"/>
        </w:rPr>
      </w:pPr>
      <w:r>
        <w:rPr>
          <w:color w:val="000000"/>
          <w:sz w:val="24"/>
          <w:szCs w:val="24"/>
          <w:u w:val="single"/>
        </w:rPr>
        <w:t>Profesor: Julio Peña y Lillo, UHemisferios.</w:t>
      </w:r>
    </w:p>
    <w:p w:rsidR="0007736A" w:rsidRDefault="00016113">
      <w:pPr>
        <w:numPr>
          <w:ilvl w:val="0"/>
          <w:numId w:val="6"/>
        </w:numPr>
        <w:pBdr>
          <w:top w:val="nil"/>
          <w:left w:val="nil"/>
          <w:bottom w:val="nil"/>
          <w:right w:val="nil"/>
          <w:between w:val="nil"/>
        </w:pBdr>
        <w:spacing w:after="0" w:line="240" w:lineRule="auto"/>
        <w:jc w:val="both"/>
        <w:rPr>
          <w:color w:val="000000"/>
          <w:sz w:val="24"/>
          <w:szCs w:val="24"/>
        </w:rPr>
      </w:pPr>
      <w:r>
        <w:rPr>
          <w:color w:val="000000"/>
          <w:sz w:val="24"/>
          <w:szCs w:val="24"/>
        </w:rPr>
        <w:t>Liderazgo eficaz y efectivo</w:t>
      </w:r>
    </w:p>
    <w:p w:rsidR="0007736A" w:rsidRDefault="00016113">
      <w:pPr>
        <w:numPr>
          <w:ilvl w:val="0"/>
          <w:numId w:val="6"/>
        </w:numPr>
        <w:pBdr>
          <w:top w:val="nil"/>
          <w:left w:val="nil"/>
          <w:bottom w:val="nil"/>
          <w:right w:val="nil"/>
          <w:between w:val="nil"/>
        </w:pBdr>
        <w:spacing w:after="0" w:line="240" w:lineRule="auto"/>
        <w:jc w:val="both"/>
        <w:rPr>
          <w:color w:val="000000"/>
          <w:sz w:val="24"/>
          <w:szCs w:val="24"/>
        </w:rPr>
      </w:pPr>
      <w:r>
        <w:rPr>
          <w:color w:val="000000"/>
          <w:sz w:val="24"/>
          <w:szCs w:val="24"/>
        </w:rPr>
        <w:t>Discurso y oratoria</w:t>
      </w:r>
    </w:p>
    <w:p w:rsidR="0007736A" w:rsidRDefault="00016113">
      <w:pPr>
        <w:numPr>
          <w:ilvl w:val="0"/>
          <w:numId w:val="6"/>
        </w:numPr>
        <w:pBdr>
          <w:top w:val="nil"/>
          <w:left w:val="nil"/>
          <w:bottom w:val="nil"/>
          <w:right w:val="nil"/>
          <w:between w:val="nil"/>
        </w:pBdr>
        <w:spacing w:after="0" w:line="240" w:lineRule="auto"/>
        <w:jc w:val="both"/>
        <w:rPr>
          <w:color w:val="000000"/>
          <w:sz w:val="24"/>
          <w:szCs w:val="24"/>
        </w:rPr>
      </w:pPr>
      <w:r>
        <w:rPr>
          <w:color w:val="000000"/>
          <w:sz w:val="24"/>
          <w:szCs w:val="24"/>
        </w:rPr>
        <w:t>Gobernabilidad y gobernanza</w:t>
      </w:r>
    </w:p>
    <w:p w:rsidR="0007736A" w:rsidRDefault="0007736A">
      <w:pPr>
        <w:pBdr>
          <w:top w:val="nil"/>
          <w:left w:val="nil"/>
          <w:bottom w:val="nil"/>
          <w:right w:val="nil"/>
          <w:between w:val="nil"/>
        </w:pBdr>
        <w:spacing w:after="0" w:line="240" w:lineRule="auto"/>
        <w:ind w:left="720"/>
        <w:jc w:val="both"/>
        <w:rPr>
          <w:sz w:val="24"/>
          <w:szCs w:val="24"/>
        </w:rPr>
      </w:pPr>
    </w:p>
    <w:p w:rsidR="0007736A" w:rsidRDefault="0007736A">
      <w:pPr>
        <w:pBdr>
          <w:top w:val="nil"/>
          <w:left w:val="nil"/>
          <w:bottom w:val="nil"/>
          <w:right w:val="nil"/>
          <w:between w:val="nil"/>
        </w:pBdr>
        <w:spacing w:after="0" w:line="240" w:lineRule="auto"/>
        <w:ind w:left="720"/>
        <w:jc w:val="both"/>
        <w:rPr>
          <w:color w:val="000000"/>
          <w:sz w:val="24"/>
          <w:szCs w:val="24"/>
        </w:rPr>
      </w:pPr>
    </w:p>
    <w:p w:rsidR="0007736A" w:rsidRDefault="00016113">
      <w:pPr>
        <w:pBdr>
          <w:top w:val="nil"/>
          <w:left w:val="nil"/>
          <w:bottom w:val="nil"/>
          <w:right w:val="nil"/>
          <w:between w:val="nil"/>
        </w:pBdr>
        <w:spacing w:after="0" w:line="240" w:lineRule="auto"/>
        <w:ind w:left="720"/>
        <w:jc w:val="both"/>
        <w:rPr>
          <w:b/>
          <w:bCs/>
          <w:color w:val="000000"/>
          <w:sz w:val="24"/>
          <w:szCs w:val="24"/>
        </w:rPr>
      </w:pPr>
      <w:r>
        <w:rPr>
          <w:b/>
          <w:bCs/>
          <w:color w:val="000000"/>
          <w:sz w:val="24"/>
          <w:szCs w:val="24"/>
        </w:rPr>
        <w:t>ANEXO - Propuesta de agenda</w:t>
      </w:r>
    </w:p>
    <w:p w:rsidR="0007736A" w:rsidRDefault="0007736A">
      <w:pPr>
        <w:pBdr>
          <w:top w:val="nil"/>
          <w:left w:val="nil"/>
          <w:bottom w:val="nil"/>
          <w:right w:val="nil"/>
          <w:between w:val="nil"/>
        </w:pBdr>
        <w:spacing w:after="0" w:line="240" w:lineRule="auto"/>
        <w:ind w:left="720"/>
        <w:jc w:val="both"/>
        <w:rPr>
          <w:color w:val="000000"/>
          <w:sz w:val="24"/>
          <w:szCs w:val="24"/>
        </w:rPr>
      </w:pPr>
    </w:p>
    <w:p w:rsidR="0007736A" w:rsidRDefault="0007736A">
      <w:pPr>
        <w:spacing w:after="0" w:line="240" w:lineRule="auto"/>
        <w:ind w:right="-1417"/>
        <w:jc w:val="center"/>
        <w:rPr>
          <w:b/>
          <w:sz w:val="24"/>
          <w:szCs w:val="24"/>
        </w:rPr>
      </w:pPr>
    </w:p>
    <w:p w:rsidR="0007736A" w:rsidRDefault="00016113">
      <w:pPr>
        <w:spacing w:after="0" w:line="240" w:lineRule="auto"/>
        <w:ind w:right="-1417"/>
        <w:jc w:val="center"/>
        <w:rPr>
          <w:b/>
          <w:sz w:val="24"/>
          <w:szCs w:val="24"/>
        </w:rPr>
      </w:pPr>
      <w:r>
        <w:rPr>
          <w:b/>
          <w:sz w:val="24"/>
          <w:szCs w:val="24"/>
        </w:rPr>
        <w:t>PROGRAMA DE FORMACIÓN EN PARTICIPACIÓN CIUDADANA EN EL DISTRITO METROPOLITANA DE QUITO A TRAVÉS DE LAS 8 ADMINISTRACIONES ZONALES Y LA ADMINISTRACIÓN ZONAL ESPECIAL TURÍSTICA LA MARISCAL</w:t>
      </w:r>
    </w:p>
    <w:p w:rsidR="0007736A" w:rsidRDefault="0007736A">
      <w:pPr>
        <w:spacing w:after="0" w:line="240" w:lineRule="auto"/>
        <w:ind w:right="-1417"/>
        <w:jc w:val="center"/>
        <w:rPr>
          <w:b/>
          <w:sz w:val="24"/>
          <w:szCs w:val="24"/>
        </w:rPr>
      </w:pPr>
    </w:p>
    <w:p w:rsidR="0007736A" w:rsidRDefault="00016113">
      <w:pPr>
        <w:spacing w:after="0" w:line="240" w:lineRule="auto"/>
        <w:ind w:right="-1417"/>
        <w:jc w:val="center"/>
        <w:rPr>
          <w:b/>
          <w:sz w:val="24"/>
          <w:szCs w:val="24"/>
        </w:rPr>
      </w:pPr>
      <w:r>
        <w:rPr>
          <w:b/>
          <w:sz w:val="24"/>
          <w:szCs w:val="24"/>
        </w:rPr>
        <w:t>AGENDA</w:t>
      </w:r>
    </w:p>
    <w:p w:rsidR="0007736A" w:rsidRDefault="0007736A">
      <w:pPr>
        <w:spacing w:after="0" w:line="240" w:lineRule="auto"/>
        <w:rPr>
          <w:b/>
          <w:sz w:val="24"/>
          <w:szCs w:val="24"/>
        </w:rPr>
      </w:pPr>
    </w:p>
    <w:p w:rsidR="0007736A" w:rsidRDefault="0007736A">
      <w:pPr>
        <w:spacing w:after="0" w:line="240" w:lineRule="auto"/>
        <w:rPr>
          <w:b/>
          <w:sz w:val="24"/>
          <w:szCs w:val="24"/>
        </w:rPr>
      </w:pPr>
    </w:p>
    <w:p w:rsidR="0007736A" w:rsidRDefault="00016113">
      <w:pPr>
        <w:spacing w:after="0" w:line="240" w:lineRule="auto"/>
        <w:rPr>
          <w:b/>
          <w:i/>
          <w:sz w:val="24"/>
          <w:szCs w:val="24"/>
        </w:rPr>
      </w:pPr>
      <w:r>
        <w:rPr>
          <w:b/>
          <w:i/>
          <w:sz w:val="24"/>
          <w:szCs w:val="24"/>
        </w:rPr>
        <w:t xml:space="preserve">Lugar: </w:t>
      </w:r>
      <w:r>
        <w:rPr>
          <w:b/>
          <w:i/>
          <w:sz w:val="24"/>
          <w:szCs w:val="24"/>
        </w:rPr>
        <w:tab/>
        <w:t>Auditorio, Universidad de los Hemisferios</w:t>
      </w:r>
    </w:p>
    <w:p w:rsidR="0007736A" w:rsidRDefault="00016113">
      <w:pPr>
        <w:spacing w:after="0" w:line="240" w:lineRule="auto"/>
        <w:rPr>
          <w:b/>
          <w:i/>
          <w:sz w:val="24"/>
          <w:szCs w:val="24"/>
        </w:rPr>
      </w:pPr>
      <w:r>
        <w:rPr>
          <w:b/>
          <w:i/>
          <w:sz w:val="24"/>
          <w:szCs w:val="24"/>
        </w:rPr>
        <w:tab/>
        <w:t>Paseo de la Universidad No. 300 y Juan Díaz, Iñaquito Alto</w:t>
      </w:r>
    </w:p>
    <w:p w:rsidR="0007736A" w:rsidRDefault="0007736A">
      <w:pPr>
        <w:spacing w:after="0" w:line="240" w:lineRule="auto"/>
      </w:pPr>
    </w:p>
    <w:tbl>
      <w:tblPr>
        <w:tblStyle w:val="Tablaconcuadrcula"/>
        <w:tblW w:w="9322" w:type="dxa"/>
        <w:tblLook w:val="04A0" w:firstRow="1" w:lastRow="0" w:firstColumn="1" w:lastColumn="0" w:noHBand="0" w:noVBand="1"/>
      </w:tblPr>
      <w:tblGrid>
        <w:gridCol w:w="1555"/>
        <w:gridCol w:w="4365"/>
        <w:gridCol w:w="3402"/>
      </w:tblGrid>
      <w:tr w:rsidR="0007736A">
        <w:tc>
          <w:tcPr>
            <w:tcW w:w="1555" w:type="dxa"/>
          </w:tcPr>
          <w:p w:rsidR="0007736A" w:rsidRDefault="00016113">
            <w:pPr>
              <w:jc w:val="center"/>
              <w:rPr>
                <w:b/>
              </w:rPr>
            </w:pPr>
            <w:r>
              <w:rPr>
                <w:b/>
              </w:rPr>
              <w:t>HORA</w:t>
            </w:r>
          </w:p>
        </w:tc>
        <w:tc>
          <w:tcPr>
            <w:tcW w:w="4365" w:type="dxa"/>
          </w:tcPr>
          <w:p w:rsidR="0007736A" w:rsidRDefault="00016113">
            <w:pPr>
              <w:jc w:val="center"/>
              <w:rPr>
                <w:b/>
              </w:rPr>
            </w:pPr>
            <w:r>
              <w:rPr>
                <w:b/>
              </w:rPr>
              <w:t>ACTIVIDAD</w:t>
            </w:r>
          </w:p>
        </w:tc>
        <w:tc>
          <w:tcPr>
            <w:tcW w:w="3402" w:type="dxa"/>
          </w:tcPr>
          <w:p w:rsidR="0007736A" w:rsidRDefault="00016113">
            <w:pPr>
              <w:jc w:val="center"/>
              <w:rPr>
                <w:b/>
              </w:rPr>
            </w:pPr>
            <w:r>
              <w:rPr>
                <w:b/>
              </w:rPr>
              <w:t>RESPONSABLE</w:t>
            </w:r>
          </w:p>
        </w:tc>
      </w:tr>
      <w:tr w:rsidR="0007736A">
        <w:tc>
          <w:tcPr>
            <w:tcW w:w="1555" w:type="dxa"/>
          </w:tcPr>
          <w:p w:rsidR="0007736A" w:rsidRDefault="00016113">
            <w:r>
              <w:t>8:45 – 9:00</w:t>
            </w:r>
          </w:p>
        </w:tc>
        <w:tc>
          <w:tcPr>
            <w:tcW w:w="4365" w:type="dxa"/>
          </w:tcPr>
          <w:p w:rsidR="0007736A" w:rsidRDefault="00016113">
            <w:r>
              <w:t>Registro</w:t>
            </w:r>
          </w:p>
        </w:tc>
        <w:tc>
          <w:tcPr>
            <w:tcW w:w="3402" w:type="dxa"/>
            <w:shd w:val="clear" w:color="auto" w:fill="auto"/>
          </w:tcPr>
          <w:p w:rsidR="0007736A" w:rsidRDefault="0007736A"/>
        </w:tc>
      </w:tr>
      <w:tr w:rsidR="0007736A">
        <w:tc>
          <w:tcPr>
            <w:tcW w:w="1555" w:type="dxa"/>
            <w:shd w:val="clear" w:color="auto" w:fill="auto"/>
          </w:tcPr>
          <w:p w:rsidR="0007736A" w:rsidRDefault="00016113">
            <w:r>
              <w:t>9:00 – 9:10</w:t>
            </w:r>
          </w:p>
        </w:tc>
        <w:tc>
          <w:tcPr>
            <w:tcW w:w="4365" w:type="dxa"/>
            <w:shd w:val="clear" w:color="auto" w:fill="auto"/>
          </w:tcPr>
          <w:p w:rsidR="0007736A" w:rsidRDefault="00016113">
            <w:r>
              <w:t>Bienvenida</w:t>
            </w:r>
          </w:p>
        </w:tc>
        <w:tc>
          <w:tcPr>
            <w:tcW w:w="3402" w:type="dxa"/>
            <w:shd w:val="clear" w:color="auto" w:fill="auto"/>
          </w:tcPr>
          <w:p w:rsidR="0007736A" w:rsidRDefault="0007736A"/>
          <w:p w:rsidR="0007736A" w:rsidRDefault="00016113">
            <w:r>
              <w:rPr>
                <w:color w:val="000000"/>
                <w:lang w:val="en-US"/>
              </w:rPr>
              <w:t>María José Escobar</w:t>
            </w:r>
          </w:p>
          <w:p w:rsidR="0007736A" w:rsidRDefault="00016113">
            <w:r>
              <w:rPr>
                <w:color w:val="000000"/>
                <w:lang w:val="en-US"/>
              </w:rPr>
              <w:t>Directora Metropolitana de Participación Ciudadana</w:t>
            </w:r>
          </w:p>
          <w:p w:rsidR="0007736A" w:rsidRDefault="00016113">
            <w:r>
              <w:t>Diana Heredia, Directora de la Facultad de Ciencias Sociales y Humanas, Universidad Hemisferios</w:t>
            </w:r>
          </w:p>
        </w:tc>
      </w:tr>
      <w:tr w:rsidR="0007736A">
        <w:tc>
          <w:tcPr>
            <w:tcW w:w="1555" w:type="dxa"/>
          </w:tcPr>
          <w:p w:rsidR="0007736A" w:rsidRDefault="00016113">
            <w:r>
              <w:t>9:10 – 9:25</w:t>
            </w:r>
          </w:p>
        </w:tc>
        <w:tc>
          <w:tcPr>
            <w:tcW w:w="4365" w:type="dxa"/>
          </w:tcPr>
          <w:p w:rsidR="0007736A" w:rsidRDefault="00016113">
            <w:r>
              <w:t>Conceptos iniciales</w:t>
            </w:r>
          </w:p>
          <w:p w:rsidR="0007736A" w:rsidRDefault="0007736A"/>
        </w:tc>
        <w:tc>
          <w:tcPr>
            <w:tcW w:w="3402" w:type="dxa"/>
          </w:tcPr>
          <w:p w:rsidR="0007736A" w:rsidRDefault="00016113">
            <w:r>
              <w:t>Daniel Barragán</w:t>
            </w:r>
          </w:p>
          <w:p w:rsidR="0007736A" w:rsidRDefault="00016113">
            <w:r>
              <w:t>Director CIIAT, Universidad Hemisferios</w:t>
            </w:r>
          </w:p>
        </w:tc>
      </w:tr>
      <w:tr w:rsidR="0007736A">
        <w:tc>
          <w:tcPr>
            <w:tcW w:w="1555" w:type="dxa"/>
          </w:tcPr>
          <w:p w:rsidR="0007736A" w:rsidRDefault="00016113">
            <w:r>
              <w:t>9:25 – 10:25</w:t>
            </w:r>
          </w:p>
        </w:tc>
        <w:tc>
          <w:tcPr>
            <w:tcW w:w="4365" w:type="dxa"/>
          </w:tcPr>
          <w:p w:rsidR="0007736A" w:rsidRDefault="00016113">
            <w:r>
              <w:rPr>
                <w:color w:val="000000"/>
              </w:rPr>
              <w:t>Democracia representativa, democracia participativa, roles de la participación: proponente, consultivo y vinculante</w:t>
            </w:r>
          </w:p>
        </w:tc>
        <w:tc>
          <w:tcPr>
            <w:tcW w:w="3402" w:type="dxa"/>
          </w:tcPr>
          <w:p w:rsidR="0007736A" w:rsidRDefault="00016113">
            <w:pPr>
              <w:rPr>
                <w:color w:val="000000"/>
              </w:rPr>
            </w:pPr>
            <w:r>
              <w:rPr>
                <w:color w:val="000000"/>
              </w:rPr>
              <w:t>Iván Ruiz</w:t>
            </w:r>
          </w:p>
          <w:p w:rsidR="0007736A" w:rsidRDefault="00016113">
            <w:r>
              <w:t>Docente, Universidad Hemisferios</w:t>
            </w:r>
          </w:p>
        </w:tc>
      </w:tr>
      <w:tr w:rsidR="0007736A">
        <w:tc>
          <w:tcPr>
            <w:tcW w:w="1555" w:type="dxa"/>
          </w:tcPr>
          <w:p w:rsidR="0007736A" w:rsidRDefault="00016113">
            <w:r>
              <w:t>10:25 – 11:10</w:t>
            </w:r>
          </w:p>
        </w:tc>
        <w:tc>
          <w:tcPr>
            <w:tcW w:w="4365" w:type="dxa"/>
          </w:tcPr>
          <w:p w:rsidR="0007736A" w:rsidRDefault="00016113">
            <w:pPr>
              <w:rPr>
                <w:color w:val="000000"/>
              </w:rPr>
            </w:pPr>
            <w:r>
              <w:t xml:space="preserve"> </w:t>
            </w:r>
            <w:r>
              <w:rPr>
                <w:lang w:val="en-US"/>
              </w:rPr>
              <w:t>Mecanismos de participación ciudadana y control social</w:t>
            </w:r>
          </w:p>
        </w:tc>
        <w:tc>
          <w:tcPr>
            <w:tcW w:w="3402" w:type="dxa"/>
          </w:tcPr>
          <w:p w:rsidR="0007736A" w:rsidRDefault="00016113">
            <w:pPr>
              <w:rPr>
                <w:color w:val="000000"/>
                <w:lang w:val="en-US"/>
              </w:rPr>
            </w:pPr>
            <w:r>
              <w:rPr>
                <w:color w:val="000000"/>
                <w:lang w:val="en-US"/>
              </w:rPr>
              <w:t>María José Escobar</w:t>
            </w:r>
          </w:p>
          <w:p w:rsidR="0007736A" w:rsidRDefault="00016113">
            <w:pPr>
              <w:rPr>
                <w:color w:val="000000"/>
              </w:rPr>
            </w:pPr>
            <w:r>
              <w:rPr>
                <w:color w:val="000000"/>
                <w:lang w:val="en-US"/>
              </w:rPr>
              <w:t xml:space="preserve">Directora Metropolitana de Participación Ciudadana </w:t>
            </w:r>
          </w:p>
        </w:tc>
      </w:tr>
      <w:tr w:rsidR="0007736A">
        <w:tc>
          <w:tcPr>
            <w:tcW w:w="1555" w:type="dxa"/>
          </w:tcPr>
          <w:p w:rsidR="0007736A" w:rsidRDefault="00016113">
            <w:r>
              <w:t>11:10 – 11:30</w:t>
            </w:r>
          </w:p>
        </w:tc>
        <w:tc>
          <w:tcPr>
            <w:tcW w:w="7767" w:type="dxa"/>
            <w:gridSpan w:val="2"/>
          </w:tcPr>
          <w:p w:rsidR="0007736A" w:rsidRDefault="00016113">
            <w:pPr>
              <w:jc w:val="center"/>
              <w:rPr>
                <w:color w:val="000000"/>
              </w:rPr>
            </w:pPr>
            <w:r>
              <w:rPr>
                <w:i/>
                <w:iCs/>
                <w:color w:val="000000"/>
              </w:rPr>
              <w:t>Receso</w:t>
            </w:r>
          </w:p>
        </w:tc>
      </w:tr>
      <w:tr w:rsidR="0007736A">
        <w:tc>
          <w:tcPr>
            <w:tcW w:w="1555" w:type="dxa"/>
          </w:tcPr>
          <w:p w:rsidR="0007736A" w:rsidRDefault="002A2CF2">
            <w:r>
              <w:t>11:30 – 11:50</w:t>
            </w:r>
          </w:p>
        </w:tc>
        <w:tc>
          <w:tcPr>
            <w:tcW w:w="4365" w:type="dxa"/>
          </w:tcPr>
          <w:p w:rsidR="0007736A" w:rsidRDefault="00016113">
            <w:pPr>
              <w:rPr>
                <w:color w:val="000000"/>
              </w:rPr>
            </w:pPr>
            <w:r>
              <w:rPr>
                <w:color w:val="000000"/>
                <w:lang w:val="en-US"/>
              </w:rPr>
              <w:t xml:space="preserve">Perfil de una dirigencia social, tipos de dirigencias y dirigentes, funciones y responsabilidades del compromiso social y trabajo comunitario </w:t>
            </w:r>
          </w:p>
        </w:tc>
        <w:tc>
          <w:tcPr>
            <w:tcW w:w="3402" w:type="dxa"/>
          </w:tcPr>
          <w:p w:rsidR="0007736A" w:rsidRDefault="00016113">
            <w:pPr>
              <w:rPr>
                <w:color w:val="000000"/>
              </w:rPr>
            </w:pPr>
            <w:r>
              <w:rPr>
                <w:color w:val="000000"/>
                <w:lang w:val="en-US"/>
              </w:rPr>
              <w:t>José Calderón, Dirigente Social.</w:t>
            </w:r>
          </w:p>
        </w:tc>
      </w:tr>
      <w:tr w:rsidR="002A2CF2">
        <w:tc>
          <w:tcPr>
            <w:tcW w:w="1555" w:type="dxa"/>
          </w:tcPr>
          <w:p w:rsidR="002A2CF2" w:rsidRDefault="002A2CF2">
            <w:r>
              <w:t>11:50 - 12:15</w:t>
            </w:r>
          </w:p>
        </w:tc>
        <w:tc>
          <w:tcPr>
            <w:tcW w:w="4365" w:type="dxa"/>
          </w:tcPr>
          <w:p w:rsidR="002A2CF2" w:rsidRPr="002A2CF2" w:rsidRDefault="002A2CF2">
            <w:pPr>
              <w:rPr>
                <w:color w:val="000000"/>
                <w:lang w:val="es-US"/>
              </w:rPr>
            </w:pPr>
            <w:r w:rsidRPr="002A2CF2">
              <w:rPr>
                <w:color w:val="000000"/>
                <w:lang w:val="es-US"/>
              </w:rPr>
              <w:t>Perfil de una dirigencia social, tipos de dirigencias y dirigentes, funciones y responsabilidades del compromiso social y trabajo comunitario</w:t>
            </w:r>
          </w:p>
        </w:tc>
        <w:tc>
          <w:tcPr>
            <w:tcW w:w="3402" w:type="dxa"/>
          </w:tcPr>
          <w:p w:rsidR="002A2CF2" w:rsidRDefault="000551D0">
            <w:pPr>
              <w:rPr>
                <w:color w:val="000000"/>
                <w:lang w:val="en-US"/>
              </w:rPr>
            </w:pPr>
            <w:r>
              <w:rPr>
                <w:color w:val="000000"/>
                <w:lang w:val="en-US"/>
              </w:rPr>
              <w:t>Jefferson Sandoval, Dirigente S</w:t>
            </w:r>
            <w:r w:rsidR="002A2CF2" w:rsidRPr="002A2CF2">
              <w:rPr>
                <w:color w:val="000000"/>
                <w:lang w:val="en-US"/>
              </w:rPr>
              <w:t>ocial</w:t>
            </w:r>
            <w:r>
              <w:rPr>
                <w:color w:val="000000"/>
                <w:lang w:val="en-US"/>
              </w:rPr>
              <w:t>.</w:t>
            </w:r>
          </w:p>
        </w:tc>
      </w:tr>
      <w:tr w:rsidR="0007736A">
        <w:tc>
          <w:tcPr>
            <w:tcW w:w="1555" w:type="dxa"/>
          </w:tcPr>
          <w:p w:rsidR="0007736A" w:rsidRDefault="00016113">
            <w:r>
              <w:t>12:15 – 13:00</w:t>
            </w:r>
          </w:p>
        </w:tc>
        <w:tc>
          <w:tcPr>
            <w:tcW w:w="4365" w:type="dxa"/>
          </w:tcPr>
          <w:p w:rsidR="0007736A" w:rsidRDefault="00016113">
            <w:r>
              <w:rPr>
                <w:color w:val="000000"/>
              </w:rPr>
              <w:t>Metodologías para el trabajo con grupos, liderazgo y habilidades de oratoria y expresión</w:t>
            </w:r>
          </w:p>
        </w:tc>
        <w:tc>
          <w:tcPr>
            <w:tcW w:w="3402" w:type="dxa"/>
          </w:tcPr>
          <w:p w:rsidR="0007736A" w:rsidRDefault="00016113">
            <w:pPr>
              <w:rPr>
                <w:color w:val="000000"/>
              </w:rPr>
            </w:pPr>
            <w:r>
              <w:rPr>
                <w:color w:val="000000"/>
              </w:rPr>
              <w:t>Julio Peña y Lillo</w:t>
            </w:r>
          </w:p>
          <w:p w:rsidR="0007736A" w:rsidRDefault="00016113">
            <w:pPr>
              <w:rPr>
                <w:color w:val="000000"/>
              </w:rPr>
            </w:pPr>
            <w:r>
              <w:t>Docente, Universidad Hemisferios</w:t>
            </w:r>
          </w:p>
        </w:tc>
      </w:tr>
      <w:tr w:rsidR="0007736A">
        <w:tc>
          <w:tcPr>
            <w:tcW w:w="1555" w:type="dxa"/>
          </w:tcPr>
          <w:p w:rsidR="0007736A" w:rsidRDefault="00016113">
            <w:r>
              <w:t>13:00</w:t>
            </w:r>
          </w:p>
        </w:tc>
        <w:tc>
          <w:tcPr>
            <w:tcW w:w="4365" w:type="dxa"/>
          </w:tcPr>
          <w:p w:rsidR="0007736A" w:rsidRDefault="00016113">
            <w:r>
              <w:t>Clausura</w:t>
            </w:r>
          </w:p>
        </w:tc>
        <w:tc>
          <w:tcPr>
            <w:tcW w:w="3402" w:type="dxa"/>
          </w:tcPr>
          <w:p w:rsidR="0007736A" w:rsidRDefault="0007736A">
            <w:pPr>
              <w:rPr>
                <w:bCs/>
              </w:rPr>
            </w:pPr>
          </w:p>
        </w:tc>
      </w:tr>
    </w:tbl>
    <w:p w:rsidR="0007736A" w:rsidRDefault="0007736A">
      <w:pPr>
        <w:spacing w:after="0" w:line="240" w:lineRule="auto"/>
      </w:pPr>
    </w:p>
    <w:sectPr w:rsidR="0007736A">
      <w:headerReference w:type="default" r:id="rId13"/>
      <w:footerReference w:type="default" r:id="rId14"/>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6113" w:rsidRDefault="00016113">
      <w:pPr>
        <w:spacing w:after="0" w:line="240" w:lineRule="auto"/>
      </w:pPr>
      <w:r>
        <w:separator/>
      </w:r>
    </w:p>
  </w:endnote>
  <w:endnote w:type="continuationSeparator" w:id="0">
    <w:p w:rsidR="00016113" w:rsidRDefault="00016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36A" w:rsidRDefault="00016113">
    <w:pPr>
      <w:pBdr>
        <w:top w:val="nil"/>
        <w:left w:val="nil"/>
        <w:bottom w:val="nil"/>
        <w:right w:val="nil"/>
        <w:between w:val="nil"/>
      </w:pBdr>
      <w:tabs>
        <w:tab w:val="center" w:pos="4419"/>
        <w:tab w:val="right" w:pos="8838"/>
      </w:tabs>
      <w:spacing w:after="0" w:line="240" w:lineRule="auto"/>
      <w:rPr>
        <w:color w:val="000000"/>
      </w:rPr>
    </w:pPr>
    <w:r>
      <w:rPr>
        <w:noProof/>
        <w:lang w:eastAsia="es-EC"/>
      </w:rPr>
      <w:drawing>
        <wp:anchor distT="0" distB="0" distL="0" distR="0" simplePos="0" relativeHeight="3" behindDoc="1" locked="0" layoutInCell="1" allowOverlap="1">
          <wp:simplePos x="0" y="0"/>
          <wp:positionH relativeFrom="column">
            <wp:posOffset>4742815</wp:posOffset>
          </wp:positionH>
          <wp:positionV relativeFrom="paragraph">
            <wp:posOffset>-118744</wp:posOffset>
          </wp:positionV>
          <wp:extent cx="1835150" cy="610235"/>
          <wp:effectExtent l="0" t="0" r="0" b="0"/>
          <wp:wrapNone/>
          <wp:docPr id="4100" name="image3.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 cstate="print"/>
                  <a:srcRect/>
                  <a:stretch/>
                </pic:blipFill>
                <pic:spPr>
                  <a:xfrm>
                    <a:off x="0" y="0"/>
                    <a:ext cx="1835150" cy="610235"/>
                  </a:xfrm>
                  <a:prstGeom prst="rect">
                    <a:avLst/>
                  </a:prstGeom>
                  <a:ln w="9525" cap="flat" cmpd="sng">
                    <a:noFill/>
                    <a:prstDash val="solid"/>
                    <a:round/>
                    <a:headEnd/>
                    <a:tailEnd/>
                  </a:ln>
                </pic:spPr>
              </pic:pic>
            </a:graphicData>
          </a:graphic>
        </wp:anchor>
      </w:drawing>
    </w:r>
    <w:r>
      <w:rPr>
        <w:noProof/>
        <w:lang w:eastAsia="es-EC"/>
      </w:rPr>
      <w:drawing>
        <wp:anchor distT="0" distB="0" distL="0" distR="0" simplePos="0" relativeHeight="4" behindDoc="0" locked="0" layoutInCell="1" allowOverlap="1">
          <wp:simplePos x="0" y="0"/>
          <wp:positionH relativeFrom="column">
            <wp:posOffset>424815</wp:posOffset>
          </wp:positionH>
          <wp:positionV relativeFrom="paragraph">
            <wp:posOffset>29210</wp:posOffset>
          </wp:positionV>
          <wp:extent cx="4200525" cy="236855"/>
          <wp:effectExtent l="0" t="0" r="9525" b="0"/>
          <wp:wrapNone/>
          <wp:docPr id="4101" name="image2.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2.png"/>
                  <pic:cNvPicPr/>
                </pic:nvPicPr>
                <pic:blipFill>
                  <a:blip r:embed="rId2" cstate="print"/>
                  <a:srcRect/>
                  <a:stretch/>
                </pic:blipFill>
                <pic:spPr>
                  <a:xfrm>
                    <a:off x="0" y="0"/>
                    <a:ext cx="4200525" cy="236855"/>
                  </a:xfrm>
                  <a:prstGeom prst="rect">
                    <a:avLst/>
                  </a:prstGeom>
                  <a:ln w="9525" cap="flat" cmpd="sng">
                    <a:noFill/>
                    <a:prstDash val="solid"/>
                    <a:round/>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6113" w:rsidRDefault="00016113">
      <w:pPr>
        <w:spacing w:after="0" w:line="240" w:lineRule="auto"/>
      </w:pPr>
      <w:r>
        <w:separator/>
      </w:r>
    </w:p>
  </w:footnote>
  <w:footnote w:type="continuationSeparator" w:id="0">
    <w:p w:rsidR="00016113" w:rsidRDefault="000161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36A" w:rsidRDefault="00016113">
    <w:pPr>
      <w:pBdr>
        <w:top w:val="nil"/>
        <w:left w:val="nil"/>
        <w:bottom w:val="nil"/>
        <w:right w:val="nil"/>
        <w:between w:val="nil"/>
      </w:pBdr>
      <w:tabs>
        <w:tab w:val="center" w:pos="4419"/>
        <w:tab w:val="right" w:pos="8838"/>
      </w:tabs>
      <w:spacing w:after="0" w:line="240" w:lineRule="auto"/>
      <w:rPr>
        <w:color w:val="000000"/>
      </w:rPr>
    </w:pPr>
    <w:r>
      <w:rPr>
        <w:noProof/>
        <w:lang w:eastAsia="es-EC"/>
      </w:rPr>
      <w:drawing>
        <wp:anchor distT="0" distB="0" distL="114300" distR="114300" simplePos="0" relativeHeight="2" behindDoc="0" locked="0" layoutInCell="1" allowOverlap="1">
          <wp:simplePos x="0" y="0"/>
          <wp:positionH relativeFrom="margin">
            <wp:posOffset>-365759</wp:posOffset>
          </wp:positionH>
          <wp:positionV relativeFrom="paragraph">
            <wp:posOffset>-304800</wp:posOffset>
          </wp:positionV>
          <wp:extent cx="1457325" cy="714375"/>
          <wp:effectExtent l="0" t="0" r="0" b="0"/>
          <wp:wrapTight wrapText="bothSides">
            <wp:wrapPolygon edited="0">
              <wp:start x="-141" y="0"/>
              <wp:lineTo x="-141" y="21312"/>
              <wp:lineTo x="21600" y="21312"/>
              <wp:lineTo x="21600" y="0"/>
              <wp:lineTo x="-141" y="0"/>
            </wp:wrapPolygon>
          </wp:wrapTight>
          <wp:docPr id="4098"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t75"/>
                  <pic:cNvPicPr/>
                </pic:nvPicPr>
                <pic:blipFill>
                  <a:blip r:embed="rId1" cstate="print"/>
                  <a:srcRect/>
                  <a:stretch/>
                </pic:blipFill>
                <pic:spPr>
                  <a:xfrm>
                    <a:off x="0" y="0"/>
                    <a:ext cx="1457325" cy="714375"/>
                  </a:xfrm>
                  <a:prstGeom prst="rect">
                    <a:avLst/>
                  </a:prstGeom>
                  <a:ln>
                    <a:noFill/>
                  </a:ln>
                </pic:spPr>
              </pic:pic>
            </a:graphicData>
          </a:graphic>
        </wp:anchor>
      </w:drawing>
    </w:r>
    <w:r>
      <w:rPr>
        <w:color w:val="000000"/>
      </w:rPr>
      <w:tab/>
    </w:r>
    <w:r>
      <w:rPr>
        <w:color w:val="000000"/>
      </w:rPr>
      <w:tab/>
    </w:r>
    <w:r>
      <w:rPr>
        <w:noProof/>
        <w:lang w:eastAsia="es-EC"/>
      </w:rPr>
      <w:drawing>
        <wp:inline distT="0" distB="0" distL="0" distR="0">
          <wp:extent cx="1834514" cy="362212"/>
          <wp:effectExtent l="0" t="0" r="0" b="0"/>
          <wp:docPr id="4099"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2" cstate="print"/>
                  <a:srcRect/>
                  <a:stretch/>
                </pic:blipFill>
                <pic:spPr>
                  <a:xfrm>
                    <a:off x="0" y="0"/>
                    <a:ext cx="1834514" cy="362212"/>
                  </a:xfrm>
                  <a:prstGeom prst="rect">
                    <a:avLst/>
                  </a:prstGeom>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97EF3BA"/>
    <w:lvl w:ilvl="0">
      <w:start w:val="1"/>
      <w:numFmt w:val="bullet"/>
      <w:lvlText w:val="●"/>
      <w:lvlJc w:val="left"/>
      <w:pPr>
        <w:ind w:left="1080" w:hanging="360"/>
      </w:pPr>
      <w:rPr>
        <w:rFonts w:ascii="Noto Sans Symbols" w:eastAsia="Noto Sans Symbols" w:hAnsi="Noto Sans Symbols" w:cs="Noto Sans Symbols"/>
      </w:rPr>
    </w:lvl>
    <w:lvl w:ilvl="1">
      <w:start w:val="4"/>
      <w:numFmt w:val="bullet"/>
      <w:lvlText w:val="-"/>
      <w:lvlJc w:val="left"/>
      <w:pPr>
        <w:ind w:left="1800" w:hanging="360"/>
      </w:pPr>
      <w:rPr>
        <w:rFonts w:ascii="Calibri" w:eastAsia="Calibri" w:hAnsi="Calibri" w:cs="SimSun" w:hint="default"/>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00000002"/>
    <w:multiLevelType w:val="multilevel"/>
    <w:tmpl w:val="95E4E5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0000003"/>
    <w:multiLevelType w:val="multilevel"/>
    <w:tmpl w:val="A02A13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0000004"/>
    <w:multiLevelType w:val="hybridMultilevel"/>
    <w:tmpl w:val="D62E64E4"/>
    <w:lvl w:ilvl="0" w:tplc="FBCAFA34">
      <w:start w:val="21"/>
      <w:numFmt w:val="bullet"/>
      <w:lvlText w:val="-"/>
      <w:lvlJc w:val="left"/>
      <w:pPr>
        <w:ind w:left="360" w:hanging="360"/>
      </w:pPr>
      <w:rPr>
        <w:rFonts w:ascii="Calibri" w:eastAsia="Calibri" w:hAnsi="Calibri" w:cs="Calibri"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15:restartNumberingAfterBreak="0">
    <w:nsid w:val="00000005"/>
    <w:multiLevelType w:val="multilevel"/>
    <w:tmpl w:val="E644579C"/>
    <w:lvl w:ilvl="0">
      <w:start w:val="1"/>
      <w:numFmt w:val="bullet"/>
      <w:lvlText w:val="-"/>
      <w:lvlJc w:val="left"/>
      <w:pPr>
        <w:ind w:left="1080" w:hanging="360"/>
      </w:pPr>
      <w:rPr>
        <w:rFonts w:ascii="Calibri" w:eastAsia="Calibri" w:hAnsi="Calibri" w:cs="Calibri" w:hint="default"/>
      </w:rPr>
    </w:lvl>
    <w:lvl w:ilvl="1">
      <w:start w:val="4"/>
      <w:numFmt w:val="bullet"/>
      <w:lvlText w:val="-"/>
      <w:lvlJc w:val="left"/>
      <w:pPr>
        <w:ind w:left="1800" w:hanging="360"/>
      </w:pPr>
      <w:rPr>
        <w:rFonts w:ascii="Calibri" w:eastAsia="Calibri" w:hAnsi="Calibri" w:cs="SimSun" w:hint="default"/>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00000006"/>
    <w:multiLevelType w:val="multilevel"/>
    <w:tmpl w:val="2D26982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2FDA7AB2"/>
    <w:multiLevelType w:val="multilevel"/>
    <w:tmpl w:val="82740E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1"/>
  </w:num>
  <w:num w:numId="3">
    <w:abstractNumId w:val="2"/>
  </w:num>
  <w:num w:numId="4">
    <w:abstractNumId w:val="6"/>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36A"/>
    <w:rsid w:val="00016113"/>
    <w:rsid w:val="000551D0"/>
    <w:rsid w:val="0007736A"/>
    <w:rsid w:val="002A2CF2"/>
    <w:rsid w:val="00C87759"/>
    <w:rsid w:val="00F76A8E"/>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67F72FC-6F87-4A23-9460-5D7EF318C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C" w:eastAsia="es-419"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qFormat/>
    <w:pPr>
      <w:keepNext/>
      <w:keepLines/>
      <w:spacing w:before="360" w:after="80"/>
      <w:outlineLvl w:val="1"/>
    </w:pPr>
    <w:rPr>
      <w:b/>
      <w:sz w:val="36"/>
      <w:szCs w:val="36"/>
    </w:rPr>
  </w:style>
  <w:style w:type="paragraph" w:styleId="Ttulo3">
    <w:name w:val="heading 3"/>
    <w:basedOn w:val="Normal"/>
    <w:next w:val="Normal"/>
    <w:uiPriority w:val="9"/>
    <w:qFormat/>
    <w:pPr>
      <w:keepNext/>
      <w:keepLines/>
      <w:spacing w:before="280" w:after="80"/>
      <w:outlineLvl w:val="2"/>
    </w:pPr>
    <w:rPr>
      <w:b/>
      <w:sz w:val="28"/>
      <w:szCs w:val="28"/>
    </w:rPr>
  </w:style>
  <w:style w:type="paragraph" w:styleId="Ttulo4">
    <w:name w:val="heading 4"/>
    <w:basedOn w:val="Normal"/>
    <w:next w:val="Normal"/>
    <w:uiPriority w:val="9"/>
    <w:qFormat/>
    <w:pPr>
      <w:keepNext/>
      <w:keepLines/>
      <w:spacing w:before="240" w:after="40"/>
      <w:outlineLvl w:val="3"/>
    </w:pPr>
    <w:rPr>
      <w:b/>
      <w:sz w:val="24"/>
      <w:szCs w:val="24"/>
    </w:rPr>
  </w:style>
  <w:style w:type="paragraph" w:styleId="Ttulo5">
    <w:name w:val="heading 5"/>
    <w:basedOn w:val="Normal"/>
    <w:next w:val="Normal"/>
    <w:uiPriority w:val="9"/>
    <w:qFormat/>
    <w:pPr>
      <w:keepNext/>
      <w:keepLines/>
      <w:spacing w:before="220" w:after="40"/>
      <w:outlineLvl w:val="4"/>
    </w:pPr>
    <w:rPr>
      <w:b/>
    </w:rPr>
  </w:style>
  <w:style w:type="paragraph" w:styleId="Ttulo6">
    <w:name w:val="heading 6"/>
    <w:basedOn w:val="Normal"/>
    <w:next w:val="Normal"/>
    <w:uiPriority w:val="9"/>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tyle>
  <w:style w:type="paragraph" w:styleId="Prrafodelista">
    <w:name w:val="List Paragraph"/>
    <w:basedOn w:val="Normal"/>
    <w:uiPriority w:val="34"/>
    <w:qFormat/>
    <w:pPr>
      <w:ind w:left="720"/>
      <w:contextualSpacing/>
    </w:pPr>
  </w:style>
  <w:style w:type="table" w:styleId="Tablaconcuadrcula">
    <w:name w:val="Table Grid"/>
    <w:basedOn w:val="Tabla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1clara1">
    <w:name w:val="Tabla de lista 1 clara1"/>
    <w:basedOn w:val="Tablanormal"/>
    <w:uiPriority w:val="46"/>
    <w:pPr>
      <w:spacing w:after="0" w:line="240" w:lineRule="auto"/>
    </w:p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lista21">
    <w:name w:val="Tabla de lista 21"/>
    <w:basedOn w:val="Tablanormal"/>
    <w:uiPriority w:val="47"/>
    <w:pPr>
      <w:spacing w:after="0" w:line="240" w:lineRule="auto"/>
    </w:p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cuadrcula41">
    <w:name w:val="Tabla de cuadrícula 41"/>
    <w:basedOn w:val="Tablanormal"/>
    <w:uiPriority w:val="49"/>
    <w:pPr>
      <w:spacing w:after="0" w:line="240" w:lineRule="auto"/>
    </w:p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cuadrcula6concolores1">
    <w:name w:val="Tabla de cuadrícula 6 con colores1"/>
    <w:basedOn w:val="Tablanormal"/>
    <w:uiPriority w:val="51"/>
    <w:pPr>
      <w:spacing w:after="0" w:line="240" w:lineRule="auto"/>
    </w:pPr>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cuadrcula21">
    <w:name w:val="Tabla de cuadrícula 21"/>
    <w:basedOn w:val="Tablanormal"/>
    <w:uiPriority w:val="47"/>
    <w:pPr>
      <w:spacing w:after="0" w:line="240" w:lineRule="auto"/>
    </w:p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lista1clara-nfasis61">
    <w:name w:val="Tabla de lista 1 clara - Énfasis 61"/>
    <w:basedOn w:val="Tablanormal"/>
    <w:uiPriority w:val="46"/>
    <w:pPr>
      <w:spacing w:after="0" w:line="240" w:lineRule="auto"/>
    </w:pPr>
    <w:tblPr>
      <w:tblStyleRowBandSize w:val="1"/>
      <w:tblStyleColBandSize w:val="1"/>
    </w:tblPr>
    <w:tblStylePr w:type="firstRow">
      <w:rPr>
        <w:b/>
        <w:bCs/>
      </w:rPr>
      <w:tblPr/>
      <w:tcPr>
        <w:tcBorders>
          <w:bottom w:val="single" w:sz="4" w:space="0" w:color="FABF8F"/>
        </w:tcBorders>
      </w:tcPr>
    </w:tblStylePr>
    <w:tblStylePr w:type="lastRow">
      <w:rPr>
        <w:b/>
        <w:bCs/>
      </w:rPr>
      <w:tblPr/>
      <w:tcPr>
        <w:tcBorders>
          <w:top w:val="single" w:sz="4" w:space="0" w:color="FABF8F"/>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Tabladecuadrcula1clara1">
    <w:name w:val="Tabla de cuadrícula 1 clara1"/>
    <w:basedOn w:val="Tablanormal"/>
    <w:uiPriority w:val="46"/>
    <w:pPr>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styleId="Textodeglobo">
    <w:name w:val="Balloon Text"/>
    <w:basedOn w:val="Normal"/>
    <w:link w:val="TextodegloboCar"/>
    <w:uiPriority w:val="9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Pr>
      <w:rFonts w:ascii="Segoe UI" w:hAnsi="Segoe UI" w:cs="Segoe UI"/>
      <w:sz w:val="18"/>
      <w:szCs w:val="18"/>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color w:val="000000"/>
    </w:rPr>
    <w:tblPr>
      <w:tblStyleRowBandSize w:val="1"/>
      <w:tblStyleColBandSize w:val="1"/>
      <w:tblCellMar>
        <w:left w:w="108" w:type="dxa"/>
        <w:right w:w="108" w:type="dxa"/>
      </w:tblCellMar>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610E1C7-1AB8-4FC2-A3F8-A96D18796A9B}" type="doc">
      <dgm:prSet loTypeId="urn:microsoft.com/office/officeart/2005/8/layout/cycle8" loCatId="cycle" qsTypeId="urn:microsoft.com/office/officeart/2005/8/quickstyle/simple1" qsCatId="simple" csTypeId="urn:microsoft.com/office/officeart/2005/8/colors/accent1_2" csCatId="accent1" phldr="1"/>
      <dgm:spPr/>
    </dgm:pt>
    <dgm:pt modelId="{1FACD949-9E18-4265-AF9F-9B8D002E6EBE}">
      <dgm:prSet phldrT="[Texto]"/>
      <dgm:spPr/>
      <dgm:t>
        <a:bodyPr/>
        <a:lstStyle/>
        <a:p>
          <a:r>
            <a:rPr lang="es-EC"/>
            <a:t>Experiencia concreta</a:t>
          </a:r>
          <a:endParaRPr lang="es-419"/>
        </a:p>
      </dgm:t>
    </dgm:pt>
    <dgm:pt modelId="{DF3B2D70-93EB-4C74-B316-5D304B0EB54A}" type="parTrans" cxnId="{A65BAE53-2C82-4B43-81BB-29C3808A208B}">
      <dgm:prSet/>
      <dgm:spPr/>
      <dgm:t>
        <a:bodyPr/>
        <a:lstStyle/>
        <a:p>
          <a:endParaRPr lang="es-419"/>
        </a:p>
      </dgm:t>
    </dgm:pt>
    <dgm:pt modelId="{00A484BD-F79D-4E88-B04D-14A82EE1AD15}" type="sibTrans" cxnId="{A65BAE53-2C82-4B43-81BB-29C3808A208B}">
      <dgm:prSet/>
      <dgm:spPr/>
      <dgm:t>
        <a:bodyPr/>
        <a:lstStyle/>
        <a:p>
          <a:endParaRPr lang="es-419"/>
        </a:p>
      </dgm:t>
    </dgm:pt>
    <dgm:pt modelId="{13CF6FD3-9163-49C6-AD30-D7A55C9285D1}">
      <dgm:prSet phldrT="[Texto]"/>
      <dgm:spPr/>
      <dgm:t>
        <a:bodyPr/>
        <a:lstStyle/>
        <a:p>
          <a:r>
            <a:rPr lang="es-EC"/>
            <a:t>Observación reflexionada </a:t>
          </a:r>
          <a:endParaRPr lang="es-419"/>
        </a:p>
      </dgm:t>
    </dgm:pt>
    <dgm:pt modelId="{02172801-3740-49FE-AFB4-4C7B87962411}" type="parTrans" cxnId="{98CD6D89-2A8D-4B78-BE07-3A9538C72FE6}">
      <dgm:prSet/>
      <dgm:spPr/>
      <dgm:t>
        <a:bodyPr/>
        <a:lstStyle/>
        <a:p>
          <a:endParaRPr lang="es-419"/>
        </a:p>
      </dgm:t>
    </dgm:pt>
    <dgm:pt modelId="{6B13F134-8637-4CFC-B94B-46CC40B578A3}" type="sibTrans" cxnId="{98CD6D89-2A8D-4B78-BE07-3A9538C72FE6}">
      <dgm:prSet/>
      <dgm:spPr/>
      <dgm:t>
        <a:bodyPr/>
        <a:lstStyle/>
        <a:p>
          <a:endParaRPr lang="es-419"/>
        </a:p>
      </dgm:t>
    </dgm:pt>
    <dgm:pt modelId="{BCA918DB-9D8C-42E9-8ADB-CEF5DB5261A5}">
      <dgm:prSet phldrT="[Texto]"/>
      <dgm:spPr/>
      <dgm:t>
        <a:bodyPr/>
        <a:lstStyle/>
        <a:p>
          <a:r>
            <a:rPr lang="es-EC"/>
            <a:t>Conceptualización abstracta</a:t>
          </a:r>
          <a:endParaRPr lang="es-419"/>
        </a:p>
      </dgm:t>
    </dgm:pt>
    <dgm:pt modelId="{2DED9782-C4F0-43F7-89A2-1D5BD8568B20}" type="parTrans" cxnId="{D236700C-1592-4FEC-97BE-B4886B52E111}">
      <dgm:prSet/>
      <dgm:spPr/>
      <dgm:t>
        <a:bodyPr/>
        <a:lstStyle/>
        <a:p>
          <a:endParaRPr lang="es-419"/>
        </a:p>
      </dgm:t>
    </dgm:pt>
    <dgm:pt modelId="{84D3A72C-14C7-40B3-B20C-2086384F5394}" type="sibTrans" cxnId="{D236700C-1592-4FEC-97BE-B4886B52E111}">
      <dgm:prSet/>
      <dgm:spPr/>
      <dgm:t>
        <a:bodyPr/>
        <a:lstStyle/>
        <a:p>
          <a:endParaRPr lang="es-419"/>
        </a:p>
      </dgm:t>
    </dgm:pt>
    <dgm:pt modelId="{A7B5CA1A-3BC0-4E48-BB80-75E36AEE578B}">
      <dgm:prSet phldrT="[Texto]"/>
      <dgm:spPr/>
      <dgm:t>
        <a:bodyPr/>
        <a:lstStyle/>
        <a:p>
          <a:r>
            <a:rPr lang="es-EC"/>
            <a:t>Experimentación activa o aplicación práctica</a:t>
          </a:r>
          <a:endParaRPr lang="es-419"/>
        </a:p>
      </dgm:t>
    </dgm:pt>
    <dgm:pt modelId="{0EB3C7F1-4A3E-4610-B89A-0CB4878C6A80}" type="parTrans" cxnId="{521CE10F-A8BC-406E-AFE5-852ABA44EB58}">
      <dgm:prSet/>
      <dgm:spPr/>
      <dgm:t>
        <a:bodyPr/>
        <a:lstStyle/>
        <a:p>
          <a:endParaRPr lang="es-419"/>
        </a:p>
      </dgm:t>
    </dgm:pt>
    <dgm:pt modelId="{6E42B728-33CB-467D-A97A-19C73B0E1846}" type="sibTrans" cxnId="{521CE10F-A8BC-406E-AFE5-852ABA44EB58}">
      <dgm:prSet/>
      <dgm:spPr/>
      <dgm:t>
        <a:bodyPr/>
        <a:lstStyle/>
        <a:p>
          <a:endParaRPr lang="es-419"/>
        </a:p>
      </dgm:t>
    </dgm:pt>
    <dgm:pt modelId="{15D5AB53-AD69-4918-8BBC-68A1EAA115F0}" type="pres">
      <dgm:prSet presAssocID="{7610E1C7-1AB8-4FC2-A3F8-A96D18796A9B}" presName="compositeShape" presStyleCnt="0">
        <dgm:presLayoutVars>
          <dgm:chMax val="7"/>
          <dgm:dir/>
          <dgm:resizeHandles val="exact"/>
        </dgm:presLayoutVars>
      </dgm:prSet>
      <dgm:spPr/>
    </dgm:pt>
    <dgm:pt modelId="{105AE044-1C96-4108-AB90-69FAEFF22E29}" type="pres">
      <dgm:prSet presAssocID="{7610E1C7-1AB8-4FC2-A3F8-A96D18796A9B}" presName="wedge1" presStyleLbl="node1" presStyleIdx="0" presStyleCnt="4"/>
      <dgm:spPr/>
      <dgm:t>
        <a:bodyPr/>
        <a:lstStyle/>
        <a:p>
          <a:endParaRPr lang="es-ES"/>
        </a:p>
      </dgm:t>
    </dgm:pt>
    <dgm:pt modelId="{7A0FCA5C-5EEC-4AB4-B0E2-3D00400710E2}" type="pres">
      <dgm:prSet presAssocID="{7610E1C7-1AB8-4FC2-A3F8-A96D18796A9B}" presName="dummy1a" presStyleCnt="0"/>
      <dgm:spPr/>
    </dgm:pt>
    <dgm:pt modelId="{6A771EA4-80D0-4AF2-9DFB-80C25DE5EFED}" type="pres">
      <dgm:prSet presAssocID="{7610E1C7-1AB8-4FC2-A3F8-A96D18796A9B}" presName="dummy1b" presStyleCnt="0"/>
      <dgm:spPr/>
    </dgm:pt>
    <dgm:pt modelId="{CEA7B134-587B-456D-81AF-4AE2CED5164C}" type="pres">
      <dgm:prSet presAssocID="{7610E1C7-1AB8-4FC2-A3F8-A96D18796A9B}" presName="wedge1Tx" presStyleLbl="node1" presStyleIdx="0" presStyleCnt="4">
        <dgm:presLayoutVars>
          <dgm:chMax val="0"/>
          <dgm:chPref val="0"/>
          <dgm:bulletEnabled val="1"/>
        </dgm:presLayoutVars>
      </dgm:prSet>
      <dgm:spPr/>
      <dgm:t>
        <a:bodyPr/>
        <a:lstStyle/>
        <a:p>
          <a:endParaRPr lang="es-ES"/>
        </a:p>
      </dgm:t>
    </dgm:pt>
    <dgm:pt modelId="{E9AC3BA5-F916-485D-A0A9-E1C01EA44082}" type="pres">
      <dgm:prSet presAssocID="{7610E1C7-1AB8-4FC2-A3F8-A96D18796A9B}" presName="wedge2" presStyleLbl="node1" presStyleIdx="1" presStyleCnt="4"/>
      <dgm:spPr/>
      <dgm:t>
        <a:bodyPr/>
        <a:lstStyle/>
        <a:p>
          <a:endParaRPr lang="es-ES"/>
        </a:p>
      </dgm:t>
    </dgm:pt>
    <dgm:pt modelId="{FC4EF1B7-2839-4F3B-94FD-FB60933D5926}" type="pres">
      <dgm:prSet presAssocID="{7610E1C7-1AB8-4FC2-A3F8-A96D18796A9B}" presName="dummy2a" presStyleCnt="0"/>
      <dgm:spPr/>
    </dgm:pt>
    <dgm:pt modelId="{24321E88-C96E-4E87-93C8-3EAEEADF56DD}" type="pres">
      <dgm:prSet presAssocID="{7610E1C7-1AB8-4FC2-A3F8-A96D18796A9B}" presName="dummy2b" presStyleCnt="0"/>
      <dgm:spPr/>
    </dgm:pt>
    <dgm:pt modelId="{6820AB71-170A-43EC-AB61-A07B00BDA794}" type="pres">
      <dgm:prSet presAssocID="{7610E1C7-1AB8-4FC2-A3F8-A96D18796A9B}" presName="wedge2Tx" presStyleLbl="node1" presStyleIdx="1" presStyleCnt="4">
        <dgm:presLayoutVars>
          <dgm:chMax val="0"/>
          <dgm:chPref val="0"/>
          <dgm:bulletEnabled val="1"/>
        </dgm:presLayoutVars>
      </dgm:prSet>
      <dgm:spPr/>
      <dgm:t>
        <a:bodyPr/>
        <a:lstStyle/>
        <a:p>
          <a:endParaRPr lang="es-ES"/>
        </a:p>
      </dgm:t>
    </dgm:pt>
    <dgm:pt modelId="{4E39AE33-7A03-4E01-A32D-ABC6C928333A}" type="pres">
      <dgm:prSet presAssocID="{7610E1C7-1AB8-4FC2-A3F8-A96D18796A9B}" presName="wedge3" presStyleLbl="node1" presStyleIdx="2" presStyleCnt="4"/>
      <dgm:spPr/>
      <dgm:t>
        <a:bodyPr/>
        <a:lstStyle/>
        <a:p>
          <a:endParaRPr lang="es-ES"/>
        </a:p>
      </dgm:t>
    </dgm:pt>
    <dgm:pt modelId="{A2BDBF5E-EFE8-499C-96C4-2CFFD55041A9}" type="pres">
      <dgm:prSet presAssocID="{7610E1C7-1AB8-4FC2-A3F8-A96D18796A9B}" presName="dummy3a" presStyleCnt="0"/>
      <dgm:spPr/>
    </dgm:pt>
    <dgm:pt modelId="{BDFCF9B0-4050-4359-997F-DEA24FABC929}" type="pres">
      <dgm:prSet presAssocID="{7610E1C7-1AB8-4FC2-A3F8-A96D18796A9B}" presName="dummy3b" presStyleCnt="0"/>
      <dgm:spPr/>
    </dgm:pt>
    <dgm:pt modelId="{12B4D2DD-061A-48F3-B5E1-0860E5E103F8}" type="pres">
      <dgm:prSet presAssocID="{7610E1C7-1AB8-4FC2-A3F8-A96D18796A9B}" presName="wedge3Tx" presStyleLbl="node1" presStyleIdx="2" presStyleCnt="4">
        <dgm:presLayoutVars>
          <dgm:chMax val="0"/>
          <dgm:chPref val="0"/>
          <dgm:bulletEnabled val="1"/>
        </dgm:presLayoutVars>
      </dgm:prSet>
      <dgm:spPr/>
      <dgm:t>
        <a:bodyPr/>
        <a:lstStyle/>
        <a:p>
          <a:endParaRPr lang="es-ES"/>
        </a:p>
      </dgm:t>
    </dgm:pt>
    <dgm:pt modelId="{6EAE5DE5-9F6B-4736-816B-00CA85C9A32F}" type="pres">
      <dgm:prSet presAssocID="{7610E1C7-1AB8-4FC2-A3F8-A96D18796A9B}" presName="wedge4" presStyleLbl="node1" presStyleIdx="3" presStyleCnt="4"/>
      <dgm:spPr/>
      <dgm:t>
        <a:bodyPr/>
        <a:lstStyle/>
        <a:p>
          <a:endParaRPr lang="es-ES"/>
        </a:p>
      </dgm:t>
    </dgm:pt>
    <dgm:pt modelId="{7F28B793-D3D0-4B3E-9143-79B18E82294E}" type="pres">
      <dgm:prSet presAssocID="{7610E1C7-1AB8-4FC2-A3F8-A96D18796A9B}" presName="dummy4a" presStyleCnt="0"/>
      <dgm:spPr/>
    </dgm:pt>
    <dgm:pt modelId="{0E21BA52-6EEF-4339-9786-D6EC0614E1A7}" type="pres">
      <dgm:prSet presAssocID="{7610E1C7-1AB8-4FC2-A3F8-A96D18796A9B}" presName="dummy4b" presStyleCnt="0"/>
      <dgm:spPr/>
    </dgm:pt>
    <dgm:pt modelId="{F28B2ED6-1658-44CC-9604-717288B35104}" type="pres">
      <dgm:prSet presAssocID="{7610E1C7-1AB8-4FC2-A3F8-A96D18796A9B}" presName="wedge4Tx" presStyleLbl="node1" presStyleIdx="3" presStyleCnt="4">
        <dgm:presLayoutVars>
          <dgm:chMax val="0"/>
          <dgm:chPref val="0"/>
          <dgm:bulletEnabled val="1"/>
        </dgm:presLayoutVars>
      </dgm:prSet>
      <dgm:spPr/>
      <dgm:t>
        <a:bodyPr/>
        <a:lstStyle/>
        <a:p>
          <a:endParaRPr lang="es-ES"/>
        </a:p>
      </dgm:t>
    </dgm:pt>
    <dgm:pt modelId="{2DADE83D-CEB0-4F8B-849A-4FFA4D0C905D}" type="pres">
      <dgm:prSet presAssocID="{00A484BD-F79D-4E88-B04D-14A82EE1AD15}" presName="arrowWedge1" presStyleLbl="fgSibTrans2D1" presStyleIdx="0" presStyleCnt="4"/>
      <dgm:spPr/>
    </dgm:pt>
    <dgm:pt modelId="{3CF189DD-2760-4CA5-9989-869D6FF3DF27}" type="pres">
      <dgm:prSet presAssocID="{6B13F134-8637-4CFC-B94B-46CC40B578A3}" presName="arrowWedge2" presStyleLbl="fgSibTrans2D1" presStyleIdx="1" presStyleCnt="4"/>
      <dgm:spPr/>
    </dgm:pt>
    <dgm:pt modelId="{DCFECFC4-C846-4D72-B12B-279F24D5789D}" type="pres">
      <dgm:prSet presAssocID="{84D3A72C-14C7-40B3-B20C-2086384F5394}" presName="arrowWedge3" presStyleLbl="fgSibTrans2D1" presStyleIdx="2" presStyleCnt="4"/>
      <dgm:spPr/>
    </dgm:pt>
    <dgm:pt modelId="{8B3227B2-2952-4438-AFF4-BCAA7F52376C}" type="pres">
      <dgm:prSet presAssocID="{6E42B728-33CB-467D-A97A-19C73B0E1846}" presName="arrowWedge4" presStyleLbl="fgSibTrans2D1" presStyleIdx="3" presStyleCnt="4"/>
      <dgm:spPr/>
    </dgm:pt>
  </dgm:ptLst>
  <dgm:cxnLst>
    <dgm:cxn modelId="{D236700C-1592-4FEC-97BE-B4886B52E111}" srcId="{7610E1C7-1AB8-4FC2-A3F8-A96D18796A9B}" destId="{BCA918DB-9D8C-42E9-8ADB-CEF5DB5261A5}" srcOrd="2" destOrd="0" parTransId="{2DED9782-C4F0-43F7-89A2-1D5BD8568B20}" sibTransId="{84D3A72C-14C7-40B3-B20C-2086384F5394}"/>
    <dgm:cxn modelId="{6691E637-423A-4E7C-A3B6-27D5812E69D9}" type="presOf" srcId="{A7B5CA1A-3BC0-4E48-BB80-75E36AEE578B}" destId="{F28B2ED6-1658-44CC-9604-717288B35104}" srcOrd="1" destOrd="0" presId="urn:microsoft.com/office/officeart/2005/8/layout/cycle8"/>
    <dgm:cxn modelId="{257132FA-07C6-4012-93E1-2020D6A4F544}" type="presOf" srcId="{BCA918DB-9D8C-42E9-8ADB-CEF5DB5261A5}" destId="{12B4D2DD-061A-48F3-B5E1-0860E5E103F8}" srcOrd="1" destOrd="0" presId="urn:microsoft.com/office/officeart/2005/8/layout/cycle8"/>
    <dgm:cxn modelId="{521CE10F-A8BC-406E-AFE5-852ABA44EB58}" srcId="{7610E1C7-1AB8-4FC2-A3F8-A96D18796A9B}" destId="{A7B5CA1A-3BC0-4E48-BB80-75E36AEE578B}" srcOrd="3" destOrd="0" parTransId="{0EB3C7F1-4A3E-4610-B89A-0CB4878C6A80}" sibTransId="{6E42B728-33CB-467D-A97A-19C73B0E1846}"/>
    <dgm:cxn modelId="{D042ADFE-D85F-4D92-B3AF-38D5165B8E65}" type="presOf" srcId="{1FACD949-9E18-4265-AF9F-9B8D002E6EBE}" destId="{105AE044-1C96-4108-AB90-69FAEFF22E29}" srcOrd="0" destOrd="0" presId="urn:microsoft.com/office/officeart/2005/8/layout/cycle8"/>
    <dgm:cxn modelId="{32C932BA-581F-43CE-9A10-1A8E07969548}" type="presOf" srcId="{A7B5CA1A-3BC0-4E48-BB80-75E36AEE578B}" destId="{6EAE5DE5-9F6B-4736-816B-00CA85C9A32F}" srcOrd="0" destOrd="0" presId="urn:microsoft.com/office/officeart/2005/8/layout/cycle8"/>
    <dgm:cxn modelId="{AFA94D24-DF90-4956-9908-0BCE82837A88}" type="presOf" srcId="{13CF6FD3-9163-49C6-AD30-D7A55C9285D1}" destId="{6820AB71-170A-43EC-AB61-A07B00BDA794}" srcOrd="1" destOrd="0" presId="urn:microsoft.com/office/officeart/2005/8/layout/cycle8"/>
    <dgm:cxn modelId="{A65BAE53-2C82-4B43-81BB-29C3808A208B}" srcId="{7610E1C7-1AB8-4FC2-A3F8-A96D18796A9B}" destId="{1FACD949-9E18-4265-AF9F-9B8D002E6EBE}" srcOrd="0" destOrd="0" parTransId="{DF3B2D70-93EB-4C74-B316-5D304B0EB54A}" sibTransId="{00A484BD-F79D-4E88-B04D-14A82EE1AD15}"/>
    <dgm:cxn modelId="{14E5366B-2E45-488A-BF57-90C2C63344FA}" type="presOf" srcId="{13CF6FD3-9163-49C6-AD30-D7A55C9285D1}" destId="{E9AC3BA5-F916-485D-A0A9-E1C01EA44082}" srcOrd="0" destOrd="0" presId="urn:microsoft.com/office/officeart/2005/8/layout/cycle8"/>
    <dgm:cxn modelId="{39A466F4-7F00-4734-93B3-A1F85ECEDCC2}" type="presOf" srcId="{7610E1C7-1AB8-4FC2-A3F8-A96D18796A9B}" destId="{15D5AB53-AD69-4918-8BBC-68A1EAA115F0}" srcOrd="0" destOrd="0" presId="urn:microsoft.com/office/officeart/2005/8/layout/cycle8"/>
    <dgm:cxn modelId="{3857E6CB-3455-43CB-B522-DB18468A2066}" type="presOf" srcId="{BCA918DB-9D8C-42E9-8ADB-CEF5DB5261A5}" destId="{4E39AE33-7A03-4E01-A32D-ABC6C928333A}" srcOrd="0" destOrd="0" presId="urn:microsoft.com/office/officeart/2005/8/layout/cycle8"/>
    <dgm:cxn modelId="{F51424B6-0E0B-43C4-AD89-18B19F896659}" type="presOf" srcId="{1FACD949-9E18-4265-AF9F-9B8D002E6EBE}" destId="{CEA7B134-587B-456D-81AF-4AE2CED5164C}" srcOrd="1" destOrd="0" presId="urn:microsoft.com/office/officeart/2005/8/layout/cycle8"/>
    <dgm:cxn modelId="{98CD6D89-2A8D-4B78-BE07-3A9538C72FE6}" srcId="{7610E1C7-1AB8-4FC2-A3F8-A96D18796A9B}" destId="{13CF6FD3-9163-49C6-AD30-D7A55C9285D1}" srcOrd="1" destOrd="0" parTransId="{02172801-3740-49FE-AFB4-4C7B87962411}" sibTransId="{6B13F134-8637-4CFC-B94B-46CC40B578A3}"/>
    <dgm:cxn modelId="{E1C4E22C-D4A0-4067-B7BF-B32A27ECC796}" type="presParOf" srcId="{15D5AB53-AD69-4918-8BBC-68A1EAA115F0}" destId="{105AE044-1C96-4108-AB90-69FAEFF22E29}" srcOrd="0" destOrd="0" presId="urn:microsoft.com/office/officeart/2005/8/layout/cycle8"/>
    <dgm:cxn modelId="{E6D665DF-7F9E-4691-9D20-39A2CBE805C9}" type="presParOf" srcId="{15D5AB53-AD69-4918-8BBC-68A1EAA115F0}" destId="{7A0FCA5C-5EEC-4AB4-B0E2-3D00400710E2}" srcOrd="1" destOrd="0" presId="urn:microsoft.com/office/officeart/2005/8/layout/cycle8"/>
    <dgm:cxn modelId="{67AB02BC-05A1-484E-AA4F-5A6F6509F856}" type="presParOf" srcId="{15D5AB53-AD69-4918-8BBC-68A1EAA115F0}" destId="{6A771EA4-80D0-4AF2-9DFB-80C25DE5EFED}" srcOrd="2" destOrd="0" presId="urn:microsoft.com/office/officeart/2005/8/layout/cycle8"/>
    <dgm:cxn modelId="{4C9FF78B-9D46-42F3-AF73-0D65D9F7E54A}" type="presParOf" srcId="{15D5AB53-AD69-4918-8BBC-68A1EAA115F0}" destId="{CEA7B134-587B-456D-81AF-4AE2CED5164C}" srcOrd="3" destOrd="0" presId="urn:microsoft.com/office/officeart/2005/8/layout/cycle8"/>
    <dgm:cxn modelId="{C906352D-AA74-46C0-9094-9F10CFC510B2}" type="presParOf" srcId="{15D5AB53-AD69-4918-8BBC-68A1EAA115F0}" destId="{E9AC3BA5-F916-485D-A0A9-E1C01EA44082}" srcOrd="4" destOrd="0" presId="urn:microsoft.com/office/officeart/2005/8/layout/cycle8"/>
    <dgm:cxn modelId="{1ADFC095-0A94-49E7-AA74-A8BD15B3890B}" type="presParOf" srcId="{15D5AB53-AD69-4918-8BBC-68A1EAA115F0}" destId="{FC4EF1B7-2839-4F3B-94FD-FB60933D5926}" srcOrd="5" destOrd="0" presId="urn:microsoft.com/office/officeart/2005/8/layout/cycle8"/>
    <dgm:cxn modelId="{38EEAA05-8A44-411E-9E14-41F245EB89C9}" type="presParOf" srcId="{15D5AB53-AD69-4918-8BBC-68A1EAA115F0}" destId="{24321E88-C96E-4E87-93C8-3EAEEADF56DD}" srcOrd="6" destOrd="0" presId="urn:microsoft.com/office/officeart/2005/8/layout/cycle8"/>
    <dgm:cxn modelId="{6D288DF8-947B-41DE-8328-8DF30AF6EAAA}" type="presParOf" srcId="{15D5AB53-AD69-4918-8BBC-68A1EAA115F0}" destId="{6820AB71-170A-43EC-AB61-A07B00BDA794}" srcOrd="7" destOrd="0" presId="urn:microsoft.com/office/officeart/2005/8/layout/cycle8"/>
    <dgm:cxn modelId="{F8D11932-7C30-433B-B7C3-A4772AF70874}" type="presParOf" srcId="{15D5AB53-AD69-4918-8BBC-68A1EAA115F0}" destId="{4E39AE33-7A03-4E01-A32D-ABC6C928333A}" srcOrd="8" destOrd="0" presId="urn:microsoft.com/office/officeart/2005/8/layout/cycle8"/>
    <dgm:cxn modelId="{DCC47EBD-CC2B-49AF-8396-003A52828715}" type="presParOf" srcId="{15D5AB53-AD69-4918-8BBC-68A1EAA115F0}" destId="{A2BDBF5E-EFE8-499C-96C4-2CFFD55041A9}" srcOrd="9" destOrd="0" presId="urn:microsoft.com/office/officeart/2005/8/layout/cycle8"/>
    <dgm:cxn modelId="{4FBC2453-207B-4061-B539-391E387AC032}" type="presParOf" srcId="{15D5AB53-AD69-4918-8BBC-68A1EAA115F0}" destId="{BDFCF9B0-4050-4359-997F-DEA24FABC929}" srcOrd="10" destOrd="0" presId="urn:microsoft.com/office/officeart/2005/8/layout/cycle8"/>
    <dgm:cxn modelId="{96A2EA7E-A66D-4B1D-9457-486B21CE0767}" type="presParOf" srcId="{15D5AB53-AD69-4918-8BBC-68A1EAA115F0}" destId="{12B4D2DD-061A-48F3-B5E1-0860E5E103F8}" srcOrd="11" destOrd="0" presId="urn:microsoft.com/office/officeart/2005/8/layout/cycle8"/>
    <dgm:cxn modelId="{1A2F2895-6078-40C4-A7FD-AB1276145824}" type="presParOf" srcId="{15D5AB53-AD69-4918-8BBC-68A1EAA115F0}" destId="{6EAE5DE5-9F6B-4736-816B-00CA85C9A32F}" srcOrd="12" destOrd="0" presId="urn:microsoft.com/office/officeart/2005/8/layout/cycle8"/>
    <dgm:cxn modelId="{4E7CB1C6-BD83-4E62-82FA-086FBCC9A182}" type="presParOf" srcId="{15D5AB53-AD69-4918-8BBC-68A1EAA115F0}" destId="{7F28B793-D3D0-4B3E-9143-79B18E82294E}" srcOrd="13" destOrd="0" presId="urn:microsoft.com/office/officeart/2005/8/layout/cycle8"/>
    <dgm:cxn modelId="{4D18290B-FD92-4C80-9D5C-FE64543671D9}" type="presParOf" srcId="{15D5AB53-AD69-4918-8BBC-68A1EAA115F0}" destId="{0E21BA52-6EEF-4339-9786-D6EC0614E1A7}" srcOrd="14" destOrd="0" presId="urn:microsoft.com/office/officeart/2005/8/layout/cycle8"/>
    <dgm:cxn modelId="{192A98E9-7C41-4954-ADB8-3562AC0D49F0}" type="presParOf" srcId="{15D5AB53-AD69-4918-8BBC-68A1EAA115F0}" destId="{F28B2ED6-1658-44CC-9604-717288B35104}" srcOrd="15" destOrd="0" presId="urn:microsoft.com/office/officeart/2005/8/layout/cycle8"/>
    <dgm:cxn modelId="{151E0F5D-94E9-44F3-ABF9-81ABA4978FE0}" type="presParOf" srcId="{15D5AB53-AD69-4918-8BBC-68A1EAA115F0}" destId="{2DADE83D-CEB0-4F8B-849A-4FFA4D0C905D}" srcOrd="16" destOrd="0" presId="urn:microsoft.com/office/officeart/2005/8/layout/cycle8"/>
    <dgm:cxn modelId="{075245D9-2160-484A-A899-F7B2B13A2063}" type="presParOf" srcId="{15D5AB53-AD69-4918-8BBC-68A1EAA115F0}" destId="{3CF189DD-2760-4CA5-9989-869D6FF3DF27}" srcOrd="17" destOrd="0" presId="urn:microsoft.com/office/officeart/2005/8/layout/cycle8"/>
    <dgm:cxn modelId="{69540F64-3D14-4243-A865-7CE253ED5266}" type="presParOf" srcId="{15D5AB53-AD69-4918-8BBC-68A1EAA115F0}" destId="{DCFECFC4-C846-4D72-B12B-279F24D5789D}" srcOrd="18" destOrd="0" presId="urn:microsoft.com/office/officeart/2005/8/layout/cycle8"/>
    <dgm:cxn modelId="{EF9CF1C8-F646-4A0D-819A-E7227D980732}" type="presParOf" srcId="{15D5AB53-AD69-4918-8BBC-68A1EAA115F0}" destId="{8B3227B2-2952-4438-AFF4-BCAA7F52376C}" srcOrd="19" destOrd="0" presId="urn:microsoft.com/office/officeart/2005/8/layout/cycle8"/>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05AE044-1C96-4108-AB90-69FAEFF22E29}">
      <dsp:nvSpPr>
        <dsp:cNvPr id="0" name=""/>
        <dsp:cNvSpPr/>
      </dsp:nvSpPr>
      <dsp:spPr>
        <a:xfrm>
          <a:off x="1357583" y="171564"/>
          <a:ext cx="2416302" cy="2416302"/>
        </a:xfrm>
        <a:prstGeom prst="pie">
          <a:avLst>
            <a:gd name="adj1" fmla="val 16200000"/>
            <a:gd name="adj2" fmla="val 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s-EC" sz="900" kern="1200"/>
            <a:t>Experiencia concreta</a:t>
          </a:r>
          <a:endParaRPr lang="es-419" sz="900" kern="1200"/>
        </a:p>
      </dsp:txBody>
      <dsp:txXfrm>
        <a:off x="2640237" y="672372"/>
        <a:ext cx="891730" cy="661606"/>
      </dsp:txXfrm>
    </dsp:sp>
    <dsp:sp modelId="{E9AC3BA5-F916-485D-A0A9-E1C01EA44082}">
      <dsp:nvSpPr>
        <dsp:cNvPr id="0" name=""/>
        <dsp:cNvSpPr/>
      </dsp:nvSpPr>
      <dsp:spPr>
        <a:xfrm>
          <a:off x="1357583" y="252683"/>
          <a:ext cx="2416302" cy="2416302"/>
        </a:xfrm>
        <a:prstGeom prst="pie">
          <a:avLst>
            <a:gd name="adj1" fmla="val 0"/>
            <a:gd name="adj2" fmla="val 540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s-EC" sz="900" kern="1200"/>
            <a:t>Observación reflexionada </a:t>
          </a:r>
          <a:endParaRPr lang="es-419" sz="900" kern="1200"/>
        </a:p>
      </dsp:txBody>
      <dsp:txXfrm>
        <a:off x="2640237" y="1506571"/>
        <a:ext cx="891730" cy="661606"/>
      </dsp:txXfrm>
    </dsp:sp>
    <dsp:sp modelId="{4E39AE33-7A03-4E01-A32D-ABC6C928333A}">
      <dsp:nvSpPr>
        <dsp:cNvPr id="0" name=""/>
        <dsp:cNvSpPr/>
      </dsp:nvSpPr>
      <dsp:spPr>
        <a:xfrm>
          <a:off x="1276464" y="252683"/>
          <a:ext cx="2416302" cy="2416302"/>
        </a:xfrm>
        <a:prstGeom prst="pie">
          <a:avLst>
            <a:gd name="adj1" fmla="val 5400000"/>
            <a:gd name="adj2" fmla="val 1080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s-EC" sz="900" kern="1200"/>
            <a:t>Conceptualización abstracta</a:t>
          </a:r>
          <a:endParaRPr lang="es-419" sz="900" kern="1200"/>
        </a:p>
      </dsp:txBody>
      <dsp:txXfrm>
        <a:off x="1518382" y="1506571"/>
        <a:ext cx="891730" cy="661606"/>
      </dsp:txXfrm>
    </dsp:sp>
    <dsp:sp modelId="{6EAE5DE5-9F6B-4736-816B-00CA85C9A32F}">
      <dsp:nvSpPr>
        <dsp:cNvPr id="0" name=""/>
        <dsp:cNvSpPr/>
      </dsp:nvSpPr>
      <dsp:spPr>
        <a:xfrm>
          <a:off x="1276464" y="171564"/>
          <a:ext cx="2416302" cy="2416302"/>
        </a:xfrm>
        <a:prstGeom prst="pie">
          <a:avLst>
            <a:gd name="adj1" fmla="val 10800000"/>
            <a:gd name="adj2" fmla="val 1620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s-EC" sz="900" kern="1200"/>
            <a:t>Experimentación activa o aplicación práctica</a:t>
          </a:r>
          <a:endParaRPr lang="es-419" sz="900" kern="1200"/>
        </a:p>
      </dsp:txBody>
      <dsp:txXfrm>
        <a:off x="1518382" y="672372"/>
        <a:ext cx="891730" cy="661606"/>
      </dsp:txXfrm>
    </dsp:sp>
    <dsp:sp modelId="{2DADE83D-CEB0-4F8B-849A-4FFA4D0C905D}">
      <dsp:nvSpPr>
        <dsp:cNvPr id="0" name=""/>
        <dsp:cNvSpPr/>
      </dsp:nvSpPr>
      <dsp:spPr>
        <a:xfrm>
          <a:off x="1208002" y="21984"/>
          <a:ext cx="2715463" cy="2715463"/>
        </a:xfrm>
        <a:prstGeom prst="circularArrow">
          <a:avLst>
            <a:gd name="adj1" fmla="val 5085"/>
            <a:gd name="adj2" fmla="val 327528"/>
            <a:gd name="adj3" fmla="val 21272472"/>
            <a:gd name="adj4" fmla="val 16200000"/>
            <a:gd name="adj5" fmla="val 59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CF189DD-2760-4CA5-9989-869D6FF3DF27}">
      <dsp:nvSpPr>
        <dsp:cNvPr id="0" name=""/>
        <dsp:cNvSpPr/>
      </dsp:nvSpPr>
      <dsp:spPr>
        <a:xfrm>
          <a:off x="1208002" y="103102"/>
          <a:ext cx="2715463" cy="2715463"/>
        </a:xfrm>
        <a:prstGeom prst="circularArrow">
          <a:avLst>
            <a:gd name="adj1" fmla="val 5085"/>
            <a:gd name="adj2" fmla="val 327528"/>
            <a:gd name="adj3" fmla="val 5072472"/>
            <a:gd name="adj4" fmla="val 0"/>
            <a:gd name="adj5" fmla="val 59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CFECFC4-C846-4D72-B12B-279F24D5789D}">
      <dsp:nvSpPr>
        <dsp:cNvPr id="0" name=""/>
        <dsp:cNvSpPr/>
      </dsp:nvSpPr>
      <dsp:spPr>
        <a:xfrm>
          <a:off x="1126884" y="103102"/>
          <a:ext cx="2715463" cy="2715463"/>
        </a:xfrm>
        <a:prstGeom prst="circularArrow">
          <a:avLst>
            <a:gd name="adj1" fmla="val 5085"/>
            <a:gd name="adj2" fmla="val 327528"/>
            <a:gd name="adj3" fmla="val 10472472"/>
            <a:gd name="adj4" fmla="val 5400000"/>
            <a:gd name="adj5" fmla="val 59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B3227B2-2952-4438-AFF4-BCAA7F52376C}">
      <dsp:nvSpPr>
        <dsp:cNvPr id="0" name=""/>
        <dsp:cNvSpPr/>
      </dsp:nvSpPr>
      <dsp:spPr>
        <a:xfrm>
          <a:off x="1126884" y="21984"/>
          <a:ext cx="2715463" cy="2715463"/>
        </a:xfrm>
        <a:prstGeom prst="circularArrow">
          <a:avLst>
            <a:gd name="adj1" fmla="val 5085"/>
            <a:gd name="adj2" fmla="val 327528"/>
            <a:gd name="adj3" fmla="val 15872472"/>
            <a:gd name="adj4" fmla="val 10800000"/>
            <a:gd name="adj5" fmla="val 59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YIyYCPC52SfevuJGx30M/915xg==">AMUW2mUMFJRAqn1f2LExBVgLbCe82YGd+jzx6Dd7lMWOyvULE3HT4qDgO3vAX3MIEioeNK1pJl1BBmNDr1fbNYKc0ditxHPJpx6s3dfNVQLUhKDhWRKdBQlEWcsNpxYjf/0fMiD7d+MuMBaYzMb3RLl+rb5DxmzrtVBoeZlhCUxBaI+5syJIXNpgeVTYIWc4Ljj4t1JSv4bKWm6hSHjY2whzFU8qeluybh6rFFmWqANjwnX3kjw2VPmdVve5jg3h7OMYXl+CAmNK62gmZhE9GuOJ3kPC0uFw1OPVPbZRifYoEa4L9mtfx8yHdDR1smzmuN1QO6Oyxx+dP5TIRe1JG1DPwCsHZD0MhoBWYQEgafVC9sDG9vyFUY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1404</Words>
  <Characters>7725</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Elda Miroslava Rosales Moreta</dc:creator>
  <cp:lastModifiedBy>Angelo Rodriguez Condor</cp:lastModifiedBy>
  <cp:revision>13</cp:revision>
  <cp:lastPrinted>2023-01-25T13:34:00Z</cp:lastPrinted>
  <dcterms:created xsi:type="dcterms:W3CDTF">2023-02-09T14:31:00Z</dcterms:created>
  <dcterms:modified xsi:type="dcterms:W3CDTF">2023-04-17T16:13:00Z</dcterms:modified>
</cp:coreProperties>
</file>